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rPr>
      </w:pPr>
      <w:r>
        <w:rPr>
          <w:rFonts w:hint="eastAsia"/>
        </w:rPr>
        <w:t>南方医科大学口腔医院202</w:t>
      </w:r>
      <w:r>
        <w:rPr>
          <w:rFonts w:hint="eastAsia"/>
          <w:lang w:val="en-US" w:eastAsia="zh-CN"/>
        </w:rPr>
        <w:t>2</w:t>
      </w:r>
      <w:r>
        <w:rPr>
          <w:rFonts w:hint="eastAsia"/>
        </w:rPr>
        <w:t>年固定资产检查工作报告</w:t>
      </w:r>
    </w:p>
    <w:p>
      <w:pPr>
        <w:ind w:firstLine="560" w:firstLineChars="200"/>
        <w:rPr>
          <w:rFonts w:hint="eastAsia" w:ascii="宋体" w:hAnsi="宋体" w:eastAsia="宋体" w:cs="宋体"/>
          <w:sz w:val="28"/>
          <w:szCs w:val="28"/>
          <w:u w:val="none"/>
        </w:rPr>
      </w:pPr>
      <w:r>
        <w:rPr>
          <w:rFonts w:hint="eastAsia" w:ascii="宋体" w:hAnsi="宋体" w:eastAsia="宋体" w:cs="宋体"/>
          <w:sz w:val="28"/>
          <w:szCs w:val="28"/>
          <w:u w:val="none"/>
        </w:rPr>
        <w:t>根据202</w:t>
      </w:r>
      <w:r>
        <w:rPr>
          <w:rFonts w:hint="eastAsia" w:ascii="宋体" w:hAnsi="宋体" w:eastAsia="宋体" w:cs="宋体"/>
          <w:sz w:val="28"/>
          <w:szCs w:val="28"/>
          <w:u w:val="none"/>
          <w:lang w:val="en-US" w:eastAsia="zh-CN"/>
        </w:rPr>
        <w:t>2</w:t>
      </w:r>
      <w:r>
        <w:rPr>
          <w:rFonts w:hint="eastAsia" w:ascii="宋体" w:hAnsi="宋体" w:eastAsia="宋体" w:cs="宋体"/>
          <w:sz w:val="28"/>
          <w:szCs w:val="28"/>
          <w:u w:val="none"/>
        </w:rPr>
        <w:t>年度我院内部控制管理工作计划，结合医院资产管理的要求，</w:t>
      </w:r>
      <w:r>
        <w:rPr>
          <w:rFonts w:hint="eastAsia" w:ascii="宋体" w:hAnsi="宋体" w:eastAsia="宋体" w:cs="宋体"/>
          <w:sz w:val="28"/>
          <w:szCs w:val="28"/>
          <w:u w:val="none"/>
          <w:lang w:val="en-US" w:eastAsia="zh-CN"/>
        </w:rPr>
        <w:t>由设备科牵头，开展资产清查工作，</w:t>
      </w:r>
      <w:r>
        <w:rPr>
          <w:rFonts w:hint="eastAsia" w:ascii="宋体" w:hAnsi="宋体" w:eastAsia="宋体" w:cs="宋体"/>
          <w:sz w:val="28"/>
          <w:szCs w:val="28"/>
          <w:u w:val="none"/>
        </w:rPr>
        <w:t>于202</w:t>
      </w:r>
      <w:r>
        <w:rPr>
          <w:rFonts w:hint="eastAsia" w:ascii="宋体" w:hAnsi="宋体" w:eastAsia="宋体" w:cs="宋体"/>
          <w:sz w:val="28"/>
          <w:szCs w:val="28"/>
          <w:u w:val="none"/>
          <w:lang w:val="en-US" w:eastAsia="zh-CN"/>
        </w:rPr>
        <w:t>2</w:t>
      </w:r>
      <w:r>
        <w:rPr>
          <w:rFonts w:hint="eastAsia" w:ascii="宋体" w:hAnsi="宋体" w:eastAsia="宋体" w:cs="宋体"/>
          <w:sz w:val="28"/>
          <w:szCs w:val="28"/>
          <w:u w:val="none"/>
        </w:rPr>
        <w:t>年</w:t>
      </w:r>
      <w:r>
        <w:rPr>
          <w:rFonts w:hint="eastAsia" w:ascii="宋体" w:hAnsi="宋体" w:eastAsia="宋体" w:cs="宋体"/>
          <w:sz w:val="28"/>
          <w:szCs w:val="28"/>
          <w:u w:val="none"/>
          <w:lang w:val="en-US" w:eastAsia="zh-CN"/>
        </w:rPr>
        <w:t>12</w:t>
      </w:r>
      <w:r>
        <w:rPr>
          <w:rFonts w:hint="eastAsia" w:ascii="宋体" w:hAnsi="宋体" w:eastAsia="宋体" w:cs="宋体"/>
          <w:sz w:val="28"/>
          <w:szCs w:val="28"/>
          <w:u w:val="none"/>
        </w:rPr>
        <w:t>月</w:t>
      </w:r>
      <w:r>
        <w:rPr>
          <w:rFonts w:hint="eastAsia" w:ascii="宋体" w:hAnsi="宋体" w:eastAsia="宋体" w:cs="宋体"/>
          <w:sz w:val="28"/>
          <w:szCs w:val="28"/>
          <w:u w:val="none"/>
          <w:lang w:eastAsia="zh-CN"/>
        </w:rPr>
        <w:t>上</w:t>
      </w:r>
      <w:r>
        <w:rPr>
          <w:rFonts w:hint="eastAsia" w:ascii="宋体" w:hAnsi="宋体" w:eastAsia="宋体" w:cs="宋体"/>
          <w:sz w:val="28"/>
          <w:szCs w:val="28"/>
          <w:u w:val="none"/>
        </w:rPr>
        <w:t>旬至</w:t>
      </w:r>
      <w:r>
        <w:rPr>
          <w:rFonts w:hint="eastAsia" w:ascii="宋体" w:hAnsi="宋体" w:eastAsia="宋体" w:cs="宋体"/>
          <w:sz w:val="28"/>
          <w:szCs w:val="28"/>
          <w:u w:val="none"/>
          <w:lang w:val="en-US" w:eastAsia="zh-CN"/>
        </w:rPr>
        <w:t>2022年12</w:t>
      </w:r>
      <w:r>
        <w:rPr>
          <w:rFonts w:hint="eastAsia" w:ascii="宋体" w:hAnsi="宋体" w:eastAsia="宋体" w:cs="宋体"/>
          <w:sz w:val="28"/>
          <w:szCs w:val="28"/>
          <w:u w:val="none"/>
        </w:rPr>
        <w:t>月</w:t>
      </w:r>
      <w:r>
        <w:rPr>
          <w:rFonts w:hint="eastAsia" w:ascii="宋体" w:hAnsi="宋体" w:eastAsia="宋体" w:cs="宋体"/>
          <w:sz w:val="28"/>
          <w:szCs w:val="28"/>
          <w:u w:val="none"/>
          <w:lang w:eastAsia="zh-CN"/>
        </w:rPr>
        <w:t>下</w:t>
      </w:r>
      <w:r>
        <w:rPr>
          <w:rFonts w:hint="eastAsia" w:ascii="宋体" w:hAnsi="宋体" w:eastAsia="宋体" w:cs="宋体"/>
          <w:sz w:val="28"/>
          <w:szCs w:val="28"/>
          <w:u w:val="none"/>
        </w:rPr>
        <w:t>旬进行全员固定资产全面检查、盘点、统计。本次盘点工作以202</w:t>
      </w:r>
      <w:r>
        <w:rPr>
          <w:rFonts w:hint="eastAsia" w:ascii="宋体" w:hAnsi="宋体" w:eastAsia="宋体" w:cs="宋体"/>
          <w:sz w:val="28"/>
          <w:szCs w:val="28"/>
          <w:u w:val="none"/>
          <w:lang w:val="en-US" w:eastAsia="zh-CN"/>
        </w:rPr>
        <w:t>2</w:t>
      </w:r>
      <w:r>
        <w:rPr>
          <w:rFonts w:hint="eastAsia" w:ascii="宋体" w:hAnsi="宋体" w:eastAsia="宋体" w:cs="宋体"/>
          <w:sz w:val="28"/>
          <w:szCs w:val="28"/>
          <w:u w:val="none"/>
        </w:rPr>
        <w:t>年</w:t>
      </w:r>
      <w:r>
        <w:rPr>
          <w:rFonts w:hint="eastAsia" w:ascii="宋体" w:hAnsi="宋体" w:eastAsia="宋体" w:cs="宋体"/>
          <w:sz w:val="28"/>
          <w:szCs w:val="28"/>
          <w:u w:val="none"/>
          <w:lang w:val="en-US" w:eastAsia="zh-CN"/>
        </w:rPr>
        <w:t>10</w:t>
      </w:r>
      <w:r>
        <w:rPr>
          <w:rFonts w:hint="eastAsia" w:ascii="宋体" w:hAnsi="宋体" w:eastAsia="宋体" w:cs="宋体"/>
          <w:sz w:val="28"/>
          <w:szCs w:val="28"/>
          <w:u w:val="none"/>
        </w:rPr>
        <w:t>月30日为盘点基</w:t>
      </w:r>
      <w:bookmarkStart w:id="0" w:name="_GoBack"/>
      <w:bookmarkEnd w:id="0"/>
      <w:r>
        <w:rPr>
          <w:rFonts w:hint="eastAsia" w:ascii="宋体" w:hAnsi="宋体" w:eastAsia="宋体" w:cs="宋体"/>
          <w:sz w:val="28"/>
          <w:szCs w:val="28"/>
          <w:u w:val="none"/>
        </w:rPr>
        <w:t>准日进行全面盘点，以《事业单位国有资产管理暂行办法》（财政部第36号令）、《南方医科大学口腔医院固定资产管理办法（修订版）》（院字【2018】70号）等相关法律法规为依据，坚持“横向到人，纵向到底”的检查原则，根据医院总账固定资产实物数量、金额，开展全员各部门、各院区管理的实物盘点核查，以便及时发现问题、理顺管理部门与使用部门的沟通渠道。本次检查通过基层反馈、管理层反思，上下联动，堵塞漏洞的管理过程，以达到医院固定资产账账相符，账实相符，国有资产保值增值的目的。</w:t>
      </w:r>
    </w:p>
    <w:p>
      <w:pPr>
        <w:numPr>
          <w:ilvl w:val="0"/>
          <w:numId w:val="1"/>
        </w:numPr>
        <w:ind w:firstLine="560" w:firstLineChars="200"/>
        <w:rPr>
          <w:rFonts w:hint="eastAsia" w:ascii="宋体" w:hAnsi="宋体" w:eastAsia="宋体" w:cs="宋体"/>
          <w:sz w:val="28"/>
          <w:szCs w:val="28"/>
          <w:u w:val="none"/>
        </w:rPr>
      </w:pPr>
      <w:r>
        <w:rPr>
          <w:rFonts w:hint="eastAsia" w:ascii="宋体" w:hAnsi="宋体" w:eastAsia="宋体" w:cs="宋体"/>
          <w:sz w:val="28"/>
          <w:szCs w:val="28"/>
          <w:u w:val="none"/>
        </w:rPr>
        <w:t>固定资产盘点情况</w:t>
      </w:r>
    </w:p>
    <w:p>
      <w:pPr>
        <w:numPr>
          <w:ilvl w:val="0"/>
          <w:numId w:val="2"/>
        </w:numPr>
        <w:ind w:firstLine="560" w:firstLineChars="200"/>
        <w:rPr>
          <w:rFonts w:hint="eastAsia" w:ascii="宋体" w:hAnsi="宋体" w:eastAsia="宋体" w:cs="宋体"/>
          <w:sz w:val="28"/>
          <w:szCs w:val="28"/>
          <w:u w:val="none"/>
        </w:rPr>
      </w:pPr>
      <w:r>
        <w:rPr>
          <w:rFonts w:hint="eastAsia" w:ascii="宋体" w:hAnsi="宋体" w:eastAsia="宋体" w:cs="宋体"/>
          <w:sz w:val="28"/>
          <w:szCs w:val="28"/>
          <w:u w:val="none"/>
        </w:rPr>
        <w:t>准备工作</w:t>
      </w:r>
    </w:p>
    <w:p>
      <w:pPr>
        <w:numPr>
          <w:ilvl w:val="0"/>
          <w:numId w:val="0"/>
        </w:numPr>
        <w:ind w:firstLine="560" w:firstLineChars="200"/>
        <w:rPr>
          <w:rFonts w:hint="eastAsia" w:ascii="宋体" w:hAnsi="宋体" w:eastAsia="宋体" w:cs="宋体"/>
          <w:sz w:val="28"/>
          <w:szCs w:val="28"/>
          <w:u w:val="none"/>
          <w:lang w:eastAsia="zh-CN"/>
        </w:rPr>
      </w:pPr>
      <w:r>
        <w:rPr>
          <w:rFonts w:hint="eastAsia" w:ascii="宋体" w:hAnsi="宋体" w:eastAsia="宋体" w:cs="宋体"/>
          <w:sz w:val="28"/>
          <w:szCs w:val="28"/>
          <w:u w:val="none"/>
          <w:lang w:eastAsia="zh-CN"/>
        </w:rPr>
        <w:t>设备科根据以往固定资产盘点流程结合我院实际情况制订了详细的盘点计划、工作细则，具体工作安排落实到人。具体内容包括本次盘点工作的盘点范围和方式，时间安排，人员配置与分工，并重点强调今年需特别注意事项。</w:t>
      </w:r>
    </w:p>
    <w:p>
      <w:pPr>
        <w:numPr>
          <w:ilvl w:val="0"/>
          <w:numId w:val="2"/>
        </w:numPr>
        <w:ind w:left="0" w:leftChars="0" w:firstLine="560" w:firstLineChars="200"/>
        <w:rPr>
          <w:rFonts w:hint="eastAsia" w:ascii="宋体" w:hAnsi="宋体" w:eastAsia="宋体" w:cs="宋体"/>
          <w:sz w:val="28"/>
          <w:szCs w:val="28"/>
          <w:u w:val="none"/>
          <w:lang w:eastAsia="zh-CN"/>
        </w:rPr>
      </w:pPr>
      <w:r>
        <w:rPr>
          <w:rFonts w:hint="eastAsia" w:ascii="宋体" w:hAnsi="宋体" w:eastAsia="宋体" w:cs="宋体"/>
          <w:sz w:val="28"/>
          <w:szCs w:val="28"/>
          <w:u w:val="none"/>
          <w:lang w:eastAsia="zh-CN"/>
        </w:rPr>
        <w:t>检查和盘点情况</w:t>
      </w:r>
    </w:p>
    <w:p>
      <w:pPr>
        <w:numPr>
          <w:ilvl w:val="0"/>
          <w:numId w:val="0"/>
        </w:numPr>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截至</w:t>
      </w:r>
      <w:r>
        <w:rPr>
          <w:rFonts w:hint="eastAsia" w:ascii="宋体" w:hAnsi="宋体" w:eastAsia="宋体" w:cs="宋体"/>
          <w:sz w:val="28"/>
          <w:szCs w:val="28"/>
          <w:u w:val="none"/>
          <w:lang w:val="en-US" w:eastAsia="zh-CN"/>
        </w:rPr>
        <w:t>2022年10月30日，账面资产数量为9499件，资产总额为¥371，753，631.31元（其中实物固定资产¥363,133,679.31元，无形资产¥8，619，952.00元），较去年2021年10月30日盘点数量增加886件，原值增加¥59348534.6元。</w:t>
      </w:r>
    </w:p>
    <w:p>
      <w:pPr>
        <w:numPr>
          <w:ilvl w:val="0"/>
          <w:numId w:val="1"/>
        </w:numPr>
        <w:ind w:firstLine="560" w:firstLineChars="200"/>
        <w:rPr>
          <w:rFonts w:hint="eastAsia" w:ascii="宋体" w:hAnsi="宋体" w:eastAsia="宋体" w:cs="宋体"/>
          <w:sz w:val="28"/>
          <w:szCs w:val="28"/>
          <w:u w:val="none"/>
        </w:rPr>
      </w:pPr>
      <w:r>
        <w:rPr>
          <w:rFonts w:hint="eastAsia" w:ascii="宋体" w:hAnsi="宋体" w:eastAsia="宋体" w:cs="宋体"/>
          <w:sz w:val="28"/>
          <w:szCs w:val="28"/>
          <w:u w:val="none"/>
          <w:lang w:eastAsia="zh-CN"/>
        </w:rPr>
        <w:t>存在问题</w:t>
      </w:r>
    </w:p>
    <w:p>
      <w:pPr>
        <w:numPr>
          <w:ilvl w:val="0"/>
          <w:numId w:val="3"/>
        </w:numPr>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科室之间因工作需要已调换资产，但科室未及时办理调拨手续或报废手续。</w:t>
      </w:r>
    </w:p>
    <w:p>
      <w:pPr>
        <w:numPr>
          <w:ilvl w:val="0"/>
          <w:numId w:val="3"/>
        </w:numPr>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暂存库管理不善，未分配到科室使用。</w:t>
      </w:r>
    </w:p>
    <w:p>
      <w:pPr>
        <w:numPr>
          <w:ilvl w:val="0"/>
          <w:numId w:val="3"/>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u w:val="none"/>
          <w:lang w:val="en-US" w:eastAsia="zh-CN"/>
        </w:rPr>
        <w:t>部分科室的固定资产未粘贴资产卡，有些科室有部分黏贴，但是黏贴不全。</w:t>
      </w:r>
      <w:r>
        <w:rPr>
          <w:rFonts w:hint="eastAsia" w:ascii="宋体" w:hAnsi="宋体" w:eastAsia="宋体" w:cs="宋体"/>
          <w:sz w:val="28"/>
          <w:szCs w:val="28"/>
          <w:lang w:val="en-US" w:eastAsia="zh-CN"/>
        </w:rPr>
        <w:t xml:space="preserve">  </w:t>
      </w:r>
    </w:p>
    <w:p>
      <w:pPr>
        <w:numPr>
          <w:ilvl w:val="0"/>
          <w:numId w:val="3"/>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存在部分闲置资产。</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三、其他需要报告的重要事项</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（一）正畸二室3D印模及牙模激光扫描仪，编号021600000033原值¥276,666.00元。从2017年8月购置开始一直借给粤诚中心使用。</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科教科远程医疗系统设备编号010100000105，原值¥3,280,000.00元为一批设备合集，在2016年12月1日签订采购合同，根据设备清单显示在2016年12月投入使用。该批设备安装在总院、海珠广场院区的会议室和各个临床诊室，由于经手人已离岗，未留下各个设备的去向以及签收情况，未能对该批设备进行清点和处置。</w:t>
      </w:r>
    </w:p>
    <w:tbl>
      <w:tblPr>
        <w:tblStyle w:val="8"/>
        <w:tblW w:w="8494" w:type="dxa"/>
        <w:tblInd w:w="0" w:type="dxa"/>
        <w:tblLayout w:type="fixed"/>
        <w:tblCellMar>
          <w:top w:w="0" w:type="dxa"/>
          <w:left w:w="10" w:type="dxa"/>
          <w:bottom w:w="0" w:type="dxa"/>
          <w:right w:w="10" w:type="dxa"/>
        </w:tblCellMar>
      </w:tblPr>
      <w:tblGrid>
        <w:gridCol w:w="763"/>
        <w:gridCol w:w="5"/>
        <w:gridCol w:w="1766"/>
        <w:gridCol w:w="2711"/>
        <w:gridCol w:w="487"/>
        <w:gridCol w:w="1400"/>
        <w:gridCol w:w="1362"/>
      </w:tblGrid>
      <w:tr>
        <w:tblPrEx>
          <w:tblLayout w:type="fixed"/>
          <w:tblCellMar>
            <w:top w:w="0" w:type="dxa"/>
            <w:left w:w="10" w:type="dxa"/>
            <w:bottom w:w="0" w:type="dxa"/>
            <w:right w:w="10" w:type="dxa"/>
          </w:tblCellMar>
        </w:tblPrEx>
        <w:trPr>
          <w:trHeight w:val="658"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b/>
                <w:bCs/>
                <w:sz w:val="22"/>
                <w:szCs w:val="22"/>
              </w:rPr>
            </w:pPr>
            <w:r>
              <w:rPr>
                <w:rFonts w:ascii="宋体" w:hAnsi="宋体" w:eastAsia="宋体" w:cs="宋体"/>
                <w:b/>
                <w:bCs/>
                <w:color w:val="000000"/>
                <w:spacing w:val="0"/>
                <w:w w:val="100"/>
                <w:position w:val="0"/>
                <w:sz w:val="22"/>
                <w:szCs w:val="22"/>
              </w:rPr>
              <w:t>序号</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b/>
                <w:bCs/>
                <w:sz w:val="22"/>
                <w:szCs w:val="22"/>
              </w:rPr>
            </w:pPr>
            <w:r>
              <w:rPr>
                <w:rFonts w:ascii="宋体" w:hAnsi="宋体" w:eastAsia="宋体" w:cs="宋体"/>
                <w:b/>
                <w:bCs/>
                <w:color w:val="000000"/>
                <w:spacing w:val="0"/>
                <w:w w:val="100"/>
                <w:position w:val="0"/>
                <w:sz w:val="22"/>
                <w:szCs w:val="22"/>
              </w:rPr>
              <w:t>商品名称</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02" w:lineRule="exact"/>
              <w:ind w:left="0" w:right="0" w:firstLine="0"/>
              <w:jc w:val="center"/>
              <w:textAlignment w:val="auto"/>
              <w:rPr>
                <w:rFonts w:ascii="宋体" w:hAnsi="宋体" w:eastAsia="宋体" w:cs="宋体"/>
                <w:b/>
                <w:bCs/>
                <w:color w:val="000000"/>
                <w:spacing w:val="0"/>
                <w:w w:val="100"/>
                <w:position w:val="0"/>
                <w:sz w:val="22"/>
                <w:szCs w:val="22"/>
              </w:rPr>
            </w:pPr>
            <w:r>
              <w:rPr>
                <w:rFonts w:ascii="宋体" w:hAnsi="宋体" w:eastAsia="宋体" w:cs="宋体"/>
                <w:b/>
                <w:bCs/>
                <w:color w:val="000000"/>
                <w:spacing w:val="0"/>
                <w:w w:val="100"/>
                <w:position w:val="0"/>
                <w:sz w:val="22"/>
                <w:szCs w:val="22"/>
              </w:rPr>
              <w:t>品牌、规格型号、配置</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02" w:lineRule="exact"/>
              <w:ind w:left="0" w:right="0" w:firstLine="0"/>
              <w:jc w:val="center"/>
              <w:textAlignment w:val="auto"/>
              <w:rPr>
                <w:b/>
                <w:bCs/>
                <w:sz w:val="22"/>
                <w:szCs w:val="22"/>
              </w:rPr>
            </w:pPr>
            <w:r>
              <w:rPr>
                <w:rFonts w:ascii="宋体" w:hAnsi="宋体" w:eastAsia="宋体" w:cs="宋体"/>
                <w:b/>
                <w:bCs/>
                <w:color w:val="000000"/>
                <w:spacing w:val="0"/>
                <w:w w:val="100"/>
                <w:position w:val="0"/>
                <w:sz w:val="22"/>
                <w:szCs w:val="22"/>
              </w:rPr>
              <w:t>（性能参数）</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b/>
                <w:bCs/>
              </w:rPr>
            </w:pPr>
            <w:r>
              <w:rPr>
                <w:rFonts w:ascii="宋体" w:hAnsi="宋体" w:eastAsia="宋体" w:cs="宋体"/>
                <w:b/>
                <w:bCs/>
                <w:color w:val="000000"/>
                <w:spacing w:val="0"/>
                <w:w w:val="100"/>
                <w:position w:val="0"/>
                <w:sz w:val="24"/>
                <w:szCs w:val="24"/>
              </w:rPr>
              <w:t>数量</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b/>
                <w:bCs/>
                <w:sz w:val="22"/>
                <w:szCs w:val="22"/>
              </w:rPr>
            </w:pPr>
            <w:r>
              <w:rPr>
                <w:rFonts w:ascii="宋体" w:hAnsi="宋体" w:eastAsia="宋体" w:cs="宋体"/>
                <w:b/>
                <w:bCs/>
                <w:color w:val="000000"/>
                <w:spacing w:val="0"/>
                <w:w w:val="100"/>
                <w:position w:val="0"/>
                <w:sz w:val="22"/>
                <w:szCs w:val="22"/>
              </w:rPr>
              <w:t>单价（元）</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b/>
                <w:bCs/>
                <w:sz w:val="22"/>
                <w:szCs w:val="22"/>
              </w:rPr>
            </w:pPr>
            <w:r>
              <w:rPr>
                <w:rFonts w:ascii="宋体" w:hAnsi="宋体" w:eastAsia="宋体" w:cs="宋体"/>
                <w:b/>
                <w:bCs/>
                <w:color w:val="000000"/>
                <w:spacing w:val="0"/>
                <w:w w:val="100"/>
                <w:position w:val="0"/>
                <w:sz w:val="22"/>
                <w:szCs w:val="22"/>
              </w:rPr>
              <w:t>金额（元）</w:t>
            </w:r>
          </w:p>
        </w:tc>
      </w:tr>
      <w:tr>
        <w:tblPrEx>
          <w:tblLayout w:type="fixed"/>
          <w:tblCellMar>
            <w:top w:w="0" w:type="dxa"/>
            <w:left w:w="10" w:type="dxa"/>
            <w:bottom w:w="0" w:type="dxa"/>
            <w:right w:w="10" w:type="dxa"/>
          </w:tblCellMar>
        </w:tblPrEx>
        <w:trPr>
          <w:trHeight w:val="480"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1</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高清视频终端</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TE50</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10</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32000.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320000</w:t>
            </w:r>
            <w:r>
              <w:rPr>
                <w:rFonts w:hint="default" w:ascii="Times New Roman" w:hAnsi="Times New Roman" w:eastAsia="仿宋" w:cs="Times New Roman"/>
                <w:color w:val="000000"/>
                <w:spacing w:val="0"/>
                <w:w w:val="100"/>
                <w:position w:val="0"/>
                <w:sz w:val="24"/>
                <w:szCs w:val="24"/>
                <w:lang w:val="en-US" w:eastAsia="zh-CN" w:bidi="en-US"/>
              </w:rPr>
              <w:t>.</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3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全景高清摄像头</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VPC600</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7</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10000.00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70000.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2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3</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07"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全向阵列麦克风</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VPM220</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7</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2250.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color w:val="000000"/>
                <w:spacing w:val="0"/>
                <w:w w:val="100"/>
                <w:position w:val="0"/>
                <w:sz w:val="24"/>
                <w:szCs w:val="24"/>
                <w:lang w:val="en-US" w:eastAsia="en-US" w:bidi="en-US"/>
              </w:rPr>
              <w:t>15750.</w:t>
            </w:r>
            <w:r>
              <w:rPr>
                <w:rFonts w:hint="default" w:ascii="Times New Roman" w:hAnsi="Times New Roman" w:eastAsia="仿宋" w:cs="Times New Roman"/>
                <w:color w:val="000000"/>
                <w:spacing w:val="0"/>
                <w:w w:val="100"/>
                <w:position w:val="0"/>
                <w:sz w:val="24"/>
                <w:szCs w:val="24"/>
                <w:lang w:val="en-US" w:eastAsia="zh-CN" w:bidi="en-US"/>
              </w:rPr>
              <w:t>00</w:t>
            </w:r>
          </w:p>
        </w:tc>
      </w:tr>
      <w:tr>
        <w:tblPrEx>
          <w:tblLayout w:type="fixed"/>
          <w:tblCellMar>
            <w:top w:w="0" w:type="dxa"/>
            <w:left w:w="10" w:type="dxa"/>
            <w:bottom w:w="0" w:type="dxa"/>
            <w:right w:w="10" w:type="dxa"/>
          </w:tblCellMar>
        </w:tblPrEx>
        <w:trPr>
          <w:trHeight w:val="470"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4</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功率放大器</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ITC TS-700PI</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2</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4050</w:t>
            </w:r>
            <w:r>
              <w:rPr>
                <w:rFonts w:hint="default" w:ascii="Times New Roman" w:hAnsi="Times New Roman" w:eastAsia="仿宋" w:cs="Times New Roman"/>
                <w:color w:val="000000"/>
                <w:spacing w:val="0"/>
                <w:w w:val="100"/>
                <w:position w:val="0"/>
                <w:sz w:val="24"/>
                <w:szCs w:val="24"/>
                <w:lang w:val="en-US" w:eastAsia="zh-CN" w:bidi="en-US"/>
              </w:rPr>
              <w:t>.</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color w:val="000000"/>
                <w:spacing w:val="0"/>
                <w:w w:val="100"/>
                <w:position w:val="0"/>
                <w:sz w:val="24"/>
                <w:szCs w:val="24"/>
                <w:lang w:val="en-US" w:eastAsia="en-US" w:bidi="en-US"/>
              </w:rPr>
              <w:t>8100.</w:t>
            </w:r>
            <w:r>
              <w:rPr>
                <w:rFonts w:hint="default" w:ascii="Times New Roman" w:hAnsi="Times New Roman" w:eastAsia="仿宋" w:cs="Times New Roman"/>
                <w:color w:val="000000"/>
                <w:spacing w:val="0"/>
                <w:w w:val="100"/>
                <w:position w:val="0"/>
                <w:sz w:val="24"/>
                <w:szCs w:val="24"/>
                <w:lang w:val="en-US" w:eastAsia="zh-CN" w:bidi="en-US"/>
              </w:rPr>
              <w:t>00</w:t>
            </w:r>
          </w:p>
        </w:tc>
      </w:tr>
      <w:tr>
        <w:tblPrEx>
          <w:tblLayout w:type="fixed"/>
          <w:tblCellMar>
            <w:top w:w="0" w:type="dxa"/>
            <w:left w:w="10" w:type="dxa"/>
            <w:bottom w:w="0" w:type="dxa"/>
            <w:right w:w="10" w:type="dxa"/>
          </w:tblCellMar>
        </w:tblPrEx>
        <w:trPr>
          <w:trHeight w:val="480"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5</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eastAsia" w:ascii="Times New Roman" w:hAnsi="Times New Roman" w:cs="Times New Roman"/>
                <w:color w:val="000000"/>
                <w:spacing w:val="0"/>
                <w:w w:val="100"/>
                <w:position w:val="0"/>
                <w:sz w:val="24"/>
                <w:szCs w:val="24"/>
                <w:lang w:eastAsia="zh-CN"/>
              </w:rPr>
              <w:t>音</w:t>
            </w:r>
            <w:r>
              <w:rPr>
                <w:rFonts w:hint="default" w:ascii="Times New Roman" w:hAnsi="Times New Roman" w:eastAsia="仿宋" w:cs="Times New Roman"/>
                <w:color w:val="000000"/>
                <w:spacing w:val="0"/>
                <w:w w:val="100"/>
                <w:position w:val="0"/>
                <w:sz w:val="24"/>
                <w:szCs w:val="24"/>
              </w:rPr>
              <w:t>响</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ITC TS-615</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6</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4050.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24300.00</w:t>
            </w:r>
          </w:p>
        </w:tc>
      </w:tr>
      <w:tr>
        <w:tblPrEx>
          <w:tblLayout w:type="fixed"/>
          <w:tblCellMar>
            <w:top w:w="0" w:type="dxa"/>
            <w:left w:w="10" w:type="dxa"/>
            <w:bottom w:w="0" w:type="dxa"/>
            <w:right w:w="10" w:type="dxa"/>
          </w:tblCellMar>
        </w:tblPrEx>
        <w:trPr>
          <w:trHeight w:val="470"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6</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液晶电视机</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Sharp</w:t>
            </w:r>
            <w:r>
              <w:rPr>
                <w:rFonts w:hint="default" w:ascii="Times New Roman" w:hAnsi="Times New Roman" w:eastAsia="仿宋" w:cs="Times New Roman"/>
                <w:color w:val="000000"/>
                <w:spacing w:val="0"/>
                <w:w w:val="100"/>
                <w:position w:val="0"/>
                <w:sz w:val="24"/>
                <w:szCs w:val="24"/>
                <w:lang w:val="en-US" w:eastAsia="zh-CN" w:bidi="en-US"/>
              </w:rPr>
              <w:t xml:space="preserve"> </w:t>
            </w:r>
            <w:r>
              <w:rPr>
                <w:rFonts w:hint="default" w:ascii="Times New Roman" w:hAnsi="Times New Roman" w:eastAsia="仿宋" w:cs="Times New Roman"/>
                <w:color w:val="000000"/>
                <w:spacing w:val="0"/>
                <w:w w:val="100"/>
                <w:position w:val="0"/>
                <w:sz w:val="24"/>
                <w:szCs w:val="24"/>
                <w:lang w:val="en-US" w:eastAsia="en-US" w:bidi="en-US"/>
              </w:rPr>
              <w:t>LCD-80X7000A</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37800.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37800.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475"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7</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液晶电视机</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Sharp</w:t>
            </w:r>
            <w:r>
              <w:rPr>
                <w:rFonts w:hint="default" w:ascii="Times New Roman" w:hAnsi="Times New Roman" w:eastAsia="仿宋" w:cs="Times New Roman"/>
                <w:color w:val="000000"/>
                <w:spacing w:val="0"/>
                <w:w w:val="100"/>
                <w:position w:val="0"/>
                <w:sz w:val="24"/>
                <w:szCs w:val="24"/>
                <w:lang w:val="en-US" w:eastAsia="zh-CN" w:bidi="en-US"/>
              </w:rPr>
              <w:t xml:space="preserve"> </w:t>
            </w:r>
            <w:r>
              <w:rPr>
                <w:rFonts w:hint="default" w:ascii="Times New Roman" w:hAnsi="Times New Roman" w:eastAsia="仿宋" w:cs="Times New Roman"/>
                <w:color w:val="000000"/>
                <w:spacing w:val="0"/>
                <w:w w:val="100"/>
                <w:position w:val="0"/>
                <w:sz w:val="24"/>
                <w:szCs w:val="24"/>
                <w:lang w:val="en-US" w:eastAsia="en-US" w:bidi="en-US"/>
              </w:rPr>
              <w:t>LCD-40DS72A</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5400.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10800.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3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8</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超窄边液晶拼接单元</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55" 2X2</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112500.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112500.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49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9</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光源</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16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 xml:space="preserve">西诺 </w:t>
            </w:r>
            <w:r>
              <w:rPr>
                <w:rFonts w:hint="default" w:ascii="Times New Roman" w:hAnsi="Times New Roman" w:eastAsia="仿宋" w:cs="Times New Roman"/>
                <w:color w:val="000000"/>
                <w:spacing w:val="0"/>
                <w:w w:val="100"/>
                <w:position w:val="0"/>
                <w:sz w:val="24"/>
                <w:szCs w:val="24"/>
                <w:lang w:val="en-US" w:eastAsia="en-US" w:bidi="en-US"/>
              </w:rPr>
              <w:t>SPJ-IIB</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46000.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92000.00</w:t>
            </w:r>
          </w:p>
        </w:tc>
      </w:tr>
      <w:tr>
        <w:tblPrEx>
          <w:tblLayout w:type="fixed"/>
          <w:tblCellMar>
            <w:top w:w="0" w:type="dxa"/>
            <w:left w:w="10" w:type="dxa"/>
            <w:bottom w:w="0" w:type="dxa"/>
            <w:right w:w="10" w:type="dxa"/>
          </w:tblCellMar>
        </w:tblPrEx>
        <w:trPr>
          <w:trHeight w:val="485"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10</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高淸摄像头</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西诺</w:t>
            </w:r>
            <w:r>
              <w:rPr>
                <w:rFonts w:hint="default" w:ascii="Times New Roman" w:hAnsi="Times New Roman" w:eastAsia="仿宋" w:cs="Times New Roman"/>
                <w:color w:val="000000"/>
                <w:spacing w:val="0"/>
                <w:w w:val="100"/>
                <w:position w:val="0"/>
                <w:sz w:val="24"/>
                <w:szCs w:val="24"/>
                <w:lang w:val="en-US" w:eastAsia="en-US" w:bidi="en-US"/>
              </w:rPr>
              <w:t>SPJ-</w:t>
            </w:r>
            <w:r>
              <w:rPr>
                <w:rFonts w:hint="eastAsia" w:ascii="Times New Roman" w:hAnsi="Times New Roman" w:cs="Times New Roman"/>
                <w:color w:val="000000"/>
                <w:spacing w:val="0"/>
                <w:w w:val="100"/>
                <w:position w:val="0"/>
                <w:sz w:val="24"/>
                <w:szCs w:val="24"/>
                <w:lang w:val="en-US" w:eastAsia="zh-CN" w:bidi="en-US"/>
              </w:rPr>
              <w:t>II</w:t>
            </w:r>
            <w:r>
              <w:rPr>
                <w:rFonts w:hint="default" w:ascii="Times New Roman" w:hAnsi="Times New Roman" w:eastAsia="仿宋" w:cs="Times New Roman"/>
                <w:color w:val="000000"/>
                <w:spacing w:val="0"/>
                <w:w w:val="100"/>
                <w:position w:val="0"/>
                <w:sz w:val="24"/>
                <w:szCs w:val="24"/>
                <w:lang w:val="en-US" w:eastAsia="en-US" w:bidi="en-US"/>
              </w:rPr>
              <w:t>B</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59000.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118000.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499"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11</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仿宋" w:cs="Times New Roman"/>
                <w:sz w:val="24"/>
                <w:szCs w:val="24"/>
                <w:lang w:eastAsia="zh-CN"/>
              </w:rPr>
            </w:pPr>
            <w:r>
              <w:rPr>
                <w:rFonts w:hint="default" w:ascii="Times New Roman" w:hAnsi="Times New Roman" w:eastAsia="仿宋" w:cs="Times New Roman"/>
                <w:color w:val="000000"/>
                <w:spacing w:val="0"/>
                <w:w w:val="100"/>
                <w:position w:val="0"/>
                <w:sz w:val="24"/>
                <w:szCs w:val="24"/>
              </w:rPr>
              <w:t>显示</w:t>
            </w:r>
            <w:r>
              <w:rPr>
                <w:rFonts w:hint="eastAsia" w:ascii="Times New Roman" w:hAnsi="Times New Roman" w:cs="Times New Roman"/>
                <w:color w:val="000000"/>
                <w:spacing w:val="0"/>
                <w:w w:val="100"/>
                <w:position w:val="0"/>
                <w:sz w:val="24"/>
                <w:szCs w:val="24"/>
                <w:lang w:eastAsia="zh-CN"/>
              </w:rPr>
              <w:t>器</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飞利浦23寸</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5000.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10000.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48"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12</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26"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头戴式无线耳麦</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中</w:t>
            </w:r>
            <w:r>
              <w:rPr>
                <w:rFonts w:hint="eastAsia" w:ascii="Times New Roman" w:hAnsi="Times New Roman" w:cs="Times New Roman"/>
                <w:color w:val="151314"/>
                <w:spacing w:val="0"/>
                <w:w w:val="100"/>
                <w:position w:val="0"/>
                <w:sz w:val="24"/>
                <w:szCs w:val="24"/>
                <w:lang w:eastAsia="zh-CN"/>
              </w:rPr>
              <w:t>锘</w:t>
            </w:r>
            <w:r>
              <w:rPr>
                <w:rFonts w:hint="default" w:ascii="Times New Roman" w:hAnsi="Times New Roman" w:eastAsia="仿宋" w:cs="Times New Roman"/>
                <w:color w:val="151314"/>
                <w:spacing w:val="0"/>
                <w:w w:val="100"/>
                <w:position w:val="0"/>
                <w:sz w:val="24"/>
                <w:szCs w:val="24"/>
              </w:rPr>
              <w:t xml:space="preserve">基 </w:t>
            </w:r>
            <w:r>
              <w:rPr>
                <w:rFonts w:hint="default" w:ascii="Times New Roman" w:hAnsi="Times New Roman" w:eastAsia="仿宋" w:cs="Times New Roman"/>
                <w:color w:val="151314"/>
                <w:spacing w:val="0"/>
                <w:w w:val="100"/>
                <w:position w:val="0"/>
                <w:sz w:val="24"/>
                <w:szCs w:val="24"/>
                <w:lang w:val="en-US" w:eastAsia="en-US" w:bidi="en-US"/>
              </w:rPr>
              <w:t>ZONOKI B80S</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18</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270.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4860.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49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13</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电脑系统</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仿宋" w:cs="Times New Roman"/>
                <w:sz w:val="24"/>
                <w:szCs w:val="24"/>
                <w:lang w:val="en-US" w:eastAsia="zh-CN"/>
              </w:rPr>
            </w:pPr>
            <w:r>
              <w:rPr>
                <w:rFonts w:hint="default" w:ascii="Times New Roman" w:hAnsi="Times New Roman" w:eastAsia="仿宋" w:cs="Times New Roman"/>
                <w:color w:val="000000"/>
                <w:spacing w:val="0"/>
                <w:w w:val="100"/>
                <w:position w:val="0"/>
                <w:sz w:val="24"/>
                <w:szCs w:val="24"/>
              </w:rPr>
              <w:t>西</w:t>
            </w:r>
            <w:r>
              <w:rPr>
                <w:rFonts w:hint="eastAsia" w:ascii="Times New Roman" w:hAnsi="Times New Roman" w:cs="Times New Roman"/>
                <w:color w:val="000000"/>
                <w:spacing w:val="0"/>
                <w:w w:val="100"/>
                <w:position w:val="0"/>
                <w:sz w:val="24"/>
                <w:szCs w:val="24"/>
                <w:lang w:eastAsia="zh-CN"/>
              </w:rPr>
              <w:t>诺</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18</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9000</w:t>
            </w:r>
            <w:r>
              <w:rPr>
                <w:rFonts w:hint="default" w:ascii="Times New Roman" w:hAnsi="Times New Roman" w:eastAsia="仿宋" w:cs="Times New Roman"/>
                <w:color w:val="000000"/>
                <w:spacing w:val="0"/>
                <w:w w:val="100"/>
                <w:position w:val="0"/>
                <w:sz w:val="24"/>
                <w:szCs w:val="24"/>
                <w:lang w:val="en-US" w:eastAsia="zh-CN" w:bidi="en-US"/>
              </w:rPr>
              <w:t>.</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162000.00</w:t>
            </w:r>
          </w:p>
        </w:tc>
      </w:tr>
      <w:tr>
        <w:tblPrEx>
          <w:tblLayout w:type="fixed"/>
          <w:tblCellMar>
            <w:top w:w="0" w:type="dxa"/>
            <w:left w:w="10" w:type="dxa"/>
            <w:bottom w:w="0" w:type="dxa"/>
            <w:right w:w="10" w:type="dxa"/>
          </w:tblCellMar>
        </w:tblPrEx>
        <w:trPr>
          <w:trHeight w:val="494"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14</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音箱</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漫步者</w:t>
            </w:r>
            <w:r>
              <w:rPr>
                <w:rFonts w:hint="default" w:ascii="Times New Roman" w:hAnsi="Times New Roman" w:eastAsia="仿宋" w:cs="Times New Roman"/>
                <w:color w:val="151314"/>
                <w:spacing w:val="0"/>
                <w:w w:val="100"/>
                <w:position w:val="0"/>
                <w:sz w:val="24"/>
                <w:szCs w:val="24"/>
                <w:lang w:val="en-US" w:eastAsia="en-US" w:bidi="en-US"/>
              </w:rPr>
              <w:t>S1000</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5</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270.00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1350.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485" w:hRule="exact"/>
        </w:trPr>
        <w:tc>
          <w:tcPr>
            <w:tcW w:w="768"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15</w:t>
            </w:r>
          </w:p>
        </w:tc>
        <w:tc>
          <w:tcPr>
            <w:tcW w:w="1766"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光源</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 xml:space="preserve">西诺 </w:t>
            </w:r>
            <w:r>
              <w:rPr>
                <w:rFonts w:hint="default" w:ascii="Times New Roman" w:hAnsi="Times New Roman" w:eastAsia="仿宋" w:cs="Times New Roman"/>
                <w:color w:val="000000"/>
                <w:spacing w:val="0"/>
                <w:w w:val="100"/>
                <w:position w:val="0"/>
                <w:sz w:val="24"/>
                <w:szCs w:val="24"/>
                <w:lang w:val="en-US" w:eastAsia="en-US" w:bidi="en-US"/>
              </w:rPr>
              <w:t>SPJ-IIA</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16</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35010.00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560160.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42" w:hRule="exact"/>
        </w:trPr>
        <w:tc>
          <w:tcPr>
            <w:tcW w:w="768" w:type="dxa"/>
            <w:gridSpan w:val="2"/>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16</w:t>
            </w:r>
          </w:p>
        </w:tc>
        <w:tc>
          <w:tcPr>
            <w:tcW w:w="1766"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高清摄像头</w:t>
            </w:r>
          </w:p>
        </w:tc>
        <w:tc>
          <w:tcPr>
            <w:tcW w:w="2711"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西诺</w:t>
            </w:r>
            <w:r>
              <w:rPr>
                <w:rFonts w:hint="default" w:ascii="Times New Roman" w:hAnsi="Times New Roman" w:eastAsia="仿宋" w:cs="Times New Roman"/>
                <w:color w:val="000000"/>
                <w:spacing w:val="0"/>
                <w:w w:val="100"/>
                <w:position w:val="0"/>
                <w:sz w:val="24"/>
                <w:szCs w:val="24"/>
                <w:lang w:val="en-US" w:eastAsia="en-US" w:bidi="en-US"/>
              </w:rPr>
              <w:t>SPJ</w:t>
            </w:r>
            <w:r>
              <w:rPr>
                <w:rFonts w:hint="eastAsia" w:ascii="Times New Roman" w:hAnsi="Times New Roman" w:cs="Times New Roman"/>
                <w:color w:val="000000"/>
                <w:spacing w:val="0"/>
                <w:w w:val="100"/>
                <w:position w:val="0"/>
                <w:sz w:val="24"/>
                <w:szCs w:val="24"/>
                <w:lang w:val="en-US" w:eastAsia="zh-CN" w:bidi="en-US"/>
              </w:rPr>
              <w:t>-I</w:t>
            </w:r>
            <w:r>
              <w:rPr>
                <w:rFonts w:hint="default" w:ascii="Times New Roman" w:hAnsi="Times New Roman" w:eastAsia="仿宋" w:cs="Times New Roman"/>
                <w:color w:val="000000"/>
                <w:spacing w:val="0"/>
                <w:w w:val="100"/>
                <w:position w:val="0"/>
                <w:sz w:val="24"/>
                <w:szCs w:val="24"/>
                <w:lang w:val="en-US" w:eastAsia="en-US" w:bidi="en-US"/>
              </w:rPr>
              <w:t>IA</w:t>
            </w:r>
          </w:p>
        </w:tc>
        <w:tc>
          <w:tcPr>
            <w:tcW w:w="487"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16</w:t>
            </w:r>
          </w:p>
        </w:tc>
        <w:tc>
          <w:tcPr>
            <w:tcW w:w="1400"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41750.00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668000.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71"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17</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医生位显示器</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飞利浦23〃</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16</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5000.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80000.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28"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18</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护士位显示器</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飞利浦</w:t>
            </w:r>
            <w:r>
              <w:rPr>
                <w:rFonts w:hint="default" w:ascii="Times New Roman" w:hAnsi="Times New Roman" w:eastAsia="仿宋" w:cs="Times New Roman"/>
                <w:color w:val="000000"/>
                <w:spacing w:val="0"/>
                <w:w w:val="100"/>
                <w:position w:val="0"/>
                <w:sz w:val="24"/>
                <w:szCs w:val="24"/>
                <w:lang w:val="en-US" w:eastAsia="en-US" w:bidi="en-US"/>
              </w:rPr>
              <w:t>12"</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16</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lang w:val="en-US" w:eastAsia="en-US" w:bidi="en-US"/>
              </w:rPr>
              <w:t>3000.</w:t>
            </w:r>
            <w:r>
              <w:rPr>
                <w:rFonts w:hint="default" w:ascii="Times New Roman" w:hAnsi="Times New Roman" w:eastAsia="仿宋" w:cs="Times New Roman"/>
                <w:color w:val="151314"/>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48000</w:t>
            </w:r>
            <w:r>
              <w:rPr>
                <w:rFonts w:hint="default" w:ascii="Times New Roman" w:hAnsi="Times New Roman" w:eastAsia="仿宋" w:cs="Times New Roman"/>
                <w:color w:val="000000"/>
                <w:spacing w:val="0"/>
                <w:w w:val="100"/>
                <w:position w:val="0"/>
                <w:sz w:val="24"/>
                <w:szCs w:val="24"/>
                <w:lang w:val="en-US" w:eastAsia="zh-CN" w:bidi="en-US"/>
              </w:rPr>
              <w:t>.</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86"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19</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36"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远程客户端软件</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西诺</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3</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30000.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90000.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33" w:hRule="exact"/>
          <w:jc w:val="center"/>
        </w:trPr>
        <w:tc>
          <w:tcPr>
            <w:tcW w:w="763"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20</w:t>
            </w:r>
          </w:p>
        </w:tc>
        <w:tc>
          <w:tcPr>
            <w:tcW w:w="1771" w:type="dxa"/>
            <w:gridSpan w:val="2"/>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高清</w:t>
            </w:r>
            <w:r>
              <w:rPr>
                <w:rFonts w:hint="default" w:ascii="Times New Roman" w:hAnsi="Times New Roman" w:eastAsia="仿宋" w:cs="Times New Roman"/>
                <w:color w:val="000000"/>
                <w:spacing w:val="0"/>
                <w:w w:val="100"/>
                <w:position w:val="0"/>
                <w:sz w:val="24"/>
                <w:szCs w:val="24"/>
                <w:lang w:val="en-US" w:eastAsia="en-US" w:bidi="en-US"/>
              </w:rPr>
              <w:t>MCU</w:t>
            </w:r>
          </w:p>
        </w:tc>
        <w:tc>
          <w:tcPr>
            <w:tcW w:w="2711"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VP9650</w:t>
            </w:r>
          </w:p>
        </w:tc>
        <w:tc>
          <w:tcPr>
            <w:tcW w:w="487"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313235.00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313235.</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33" w:hRule="exac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21</w:t>
            </w:r>
          </w:p>
        </w:tc>
        <w:tc>
          <w:tcPr>
            <w:tcW w:w="1771"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会议管理平台</w:t>
            </w:r>
          </w:p>
        </w:tc>
        <w:tc>
          <w:tcPr>
            <w:tcW w:w="271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华为</w:t>
            </w:r>
            <w:r>
              <w:rPr>
                <w:rFonts w:hint="default" w:ascii="Times New Roman" w:hAnsi="Times New Roman" w:eastAsia="仿宋" w:cs="Times New Roman"/>
                <w:color w:val="151314"/>
                <w:spacing w:val="0"/>
                <w:w w:val="100"/>
                <w:position w:val="0"/>
                <w:sz w:val="24"/>
                <w:szCs w:val="24"/>
                <w:lang w:val="en-US" w:eastAsia="en-US" w:bidi="en-US"/>
              </w:rPr>
              <w:t>SMC2.</w:t>
            </w:r>
            <w:r>
              <w:rPr>
                <w:rFonts w:hint="default" w:ascii="Times New Roman" w:hAnsi="Times New Roman" w:eastAsia="仿宋" w:cs="Times New Roman"/>
                <w:color w:val="151314"/>
                <w:spacing w:val="0"/>
                <w:w w:val="100"/>
                <w:position w:val="0"/>
                <w:sz w:val="24"/>
                <w:szCs w:val="24"/>
              </w:rPr>
              <w:t>0</w:t>
            </w:r>
          </w:p>
        </w:tc>
        <w:tc>
          <w:tcPr>
            <w:tcW w:w="48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70000.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70000.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14"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22</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录播服务设备</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rPr>
              <w:t xml:space="preserve">华为 </w:t>
            </w:r>
            <w:r>
              <w:rPr>
                <w:rFonts w:hint="default" w:ascii="Times New Roman" w:hAnsi="Times New Roman" w:eastAsia="仿宋" w:cs="Times New Roman"/>
                <w:color w:val="151314"/>
                <w:spacing w:val="0"/>
                <w:w w:val="100"/>
                <w:position w:val="0"/>
                <w:sz w:val="24"/>
                <w:szCs w:val="24"/>
                <w:lang w:val="en-US" w:eastAsia="en-US" w:bidi="en-US"/>
              </w:rPr>
              <w:t>RSE6500</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75000.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75000.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86"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23</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P</w:t>
            </w:r>
            <w:r>
              <w:rPr>
                <w:rFonts w:hint="eastAsia" w:ascii="Times New Roman" w:hAnsi="Times New Roman" w:cs="Times New Roman"/>
                <w:color w:val="000000"/>
                <w:spacing w:val="0"/>
                <w:w w:val="100"/>
                <w:position w:val="0"/>
                <w:sz w:val="24"/>
                <w:szCs w:val="24"/>
                <w:lang w:val="en-US" w:eastAsia="zh-CN" w:bidi="en-US"/>
              </w:rPr>
              <w:t>O</w:t>
            </w:r>
            <w:r>
              <w:rPr>
                <w:rFonts w:hint="default" w:ascii="Times New Roman" w:hAnsi="Times New Roman" w:eastAsia="仿宋" w:cs="Times New Roman"/>
                <w:color w:val="000000"/>
                <w:spacing w:val="0"/>
                <w:w w:val="100"/>
                <w:position w:val="0"/>
                <w:sz w:val="24"/>
                <w:szCs w:val="24"/>
                <w:lang w:val="en-US" w:eastAsia="en-US" w:bidi="en-US"/>
              </w:rPr>
              <w:t>E</w:t>
            </w:r>
            <w:r>
              <w:rPr>
                <w:rFonts w:hint="default" w:ascii="Times New Roman" w:hAnsi="Times New Roman" w:eastAsia="仿宋" w:cs="Times New Roman"/>
                <w:color w:val="000000"/>
                <w:spacing w:val="0"/>
                <w:w w:val="100"/>
                <w:position w:val="0"/>
                <w:sz w:val="24"/>
                <w:szCs w:val="24"/>
              </w:rPr>
              <w:t>交换机</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S5700-24TP-PWR-SI-AC</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4</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8257.</w:t>
            </w:r>
            <w:r>
              <w:rPr>
                <w:rFonts w:hint="default" w:ascii="Times New Roman" w:hAnsi="Times New Roman" w:eastAsia="仿宋" w:cs="Times New Roman"/>
                <w:color w:val="000000"/>
                <w:spacing w:val="0"/>
                <w:w w:val="100"/>
                <w:position w:val="0"/>
                <w:sz w:val="24"/>
                <w:szCs w:val="24"/>
              </w:rPr>
              <w:t>50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151314"/>
                <w:spacing w:val="0"/>
                <w:w w:val="100"/>
                <w:position w:val="0"/>
                <w:sz w:val="24"/>
                <w:szCs w:val="24"/>
                <w:lang w:val="en-US" w:eastAsia="en-US" w:bidi="en-US"/>
              </w:rPr>
              <w:t>33030.</w:t>
            </w:r>
            <w:r>
              <w:rPr>
                <w:rFonts w:hint="default" w:ascii="Times New Roman" w:hAnsi="Times New Roman" w:eastAsia="仿宋" w:cs="Times New Roman"/>
                <w:color w:val="151314"/>
                <w:spacing w:val="0"/>
                <w:w w:val="100"/>
                <w:position w:val="0"/>
                <w:sz w:val="24"/>
                <w:szCs w:val="24"/>
              </w:rPr>
              <w:t>00</w:t>
            </w:r>
          </w:p>
        </w:tc>
      </w:tr>
      <w:tr>
        <w:tblPrEx>
          <w:tblLayout w:type="fixed"/>
          <w:tblCellMar>
            <w:top w:w="0" w:type="dxa"/>
            <w:left w:w="10" w:type="dxa"/>
            <w:bottom w:w="0" w:type="dxa"/>
            <w:right w:w="10" w:type="dxa"/>
          </w:tblCellMar>
        </w:tblPrEx>
        <w:trPr>
          <w:trHeight w:val="686" w:hRule="exact"/>
          <w:jc w:val="center"/>
        </w:trPr>
        <w:tc>
          <w:tcPr>
            <w:tcW w:w="763"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24</w:t>
            </w:r>
          </w:p>
        </w:tc>
        <w:tc>
          <w:tcPr>
            <w:tcW w:w="1771" w:type="dxa"/>
            <w:gridSpan w:val="2"/>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07"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无线接入控制器</w:t>
            </w:r>
            <w:r>
              <w:rPr>
                <w:rFonts w:hint="default" w:ascii="Times New Roman" w:hAnsi="Times New Roman" w:eastAsia="仿宋" w:cs="Times New Roman"/>
                <w:color w:val="000000"/>
                <w:spacing w:val="0"/>
                <w:w w:val="100"/>
                <w:position w:val="0"/>
                <w:sz w:val="24"/>
                <w:szCs w:val="24"/>
                <w:lang w:val="en-US" w:eastAsia="en-US" w:bidi="en-US"/>
              </w:rPr>
              <w:t>AC</w:t>
            </w:r>
          </w:p>
        </w:tc>
        <w:tc>
          <w:tcPr>
            <w:tcW w:w="2711"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AC6005</w:t>
            </w:r>
          </w:p>
        </w:tc>
        <w:tc>
          <w:tcPr>
            <w:tcW w:w="487"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38750.</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38750.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518" w:hRule="exact"/>
          <w:jc w:val="center"/>
        </w:trPr>
        <w:tc>
          <w:tcPr>
            <w:tcW w:w="763"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25</w:t>
            </w:r>
          </w:p>
        </w:tc>
        <w:tc>
          <w:tcPr>
            <w:tcW w:w="1771" w:type="dxa"/>
            <w:gridSpan w:val="2"/>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无线</w:t>
            </w:r>
            <w:r>
              <w:rPr>
                <w:rFonts w:hint="default" w:ascii="Times New Roman" w:hAnsi="Times New Roman" w:eastAsia="仿宋" w:cs="Times New Roman"/>
                <w:color w:val="000000"/>
                <w:spacing w:val="0"/>
                <w:w w:val="100"/>
                <w:position w:val="0"/>
                <w:sz w:val="24"/>
                <w:szCs w:val="24"/>
                <w:lang w:val="en-US" w:eastAsia="en-US" w:bidi="en-US"/>
              </w:rPr>
              <w:t>AP</w:t>
            </w:r>
          </w:p>
        </w:tc>
        <w:tc>
          <w:tcPr>
            <w:tcW w:w="2711"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华为</w:t>
            </w:r>
            <w:r>
              <w:rPr>
                <w:rFonts w:hint="default" w:ascii="Times New Roman" w:hAnsi="Times New Roman" w:eastAsia="仿宋" w:cs="Times New Roman"/>
                <w:color w:val="000000"/>
                <w:spacing w:val="0"/>
                <w:w w:val="100"/>
                <w:position w:val="0"/>
                <w:sz w:val="24"/>
                <w:szCs w:val="24"/>
                <w:lang w:val="en-US" w:eastAsia="en-US" w:bidi="en-US"/>
              </w:rPr>
              <w:t>AP6150DN</w:t>
            </w:r>
          </w:p>
        </w:tc>
        <w:tc>
          <w:tcPr>
            <w:tcW w:w="487"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32</w:t>
            </w:r>
          </w:p>
        </w:tc>
        <w:tc>
          <w:tcPr>
            <w:tcW w:w="1400"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4945.</w:t>
            </w:r>
            <w:r>
              <w:rPr>
                <w:rFonts w:hint="default" w:ascii="Times New Roman" w:hAnsi="Times New Roman" w:eastAsia="仿宋" w:cs="Times New Roman"/>
                <w:color w:val="000000"/>
                <w:spacing w:val="0"/>
                <w:w w:val="100"/>
                <w:position w:val="0"/>
                <w:sz w:val="24"/>
                <w:szCs w:val="24"/>
              </w:rPr>
              <w:t>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158240.</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67" w:hRule="exact"/>
          <w:jc w:val="center"/>
        </w:trPr>
        <w:tc>
          <w:tcPr>
            <w:tcW w:w="763"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26</w:t>
            </w:r>
          </w:p>
        </w:tc>
        <w:tc>
          <w:tcPr>
            <w:tcW w:w="1771" w:type="dxa"/>
            <w:gridSpan w:val="2"/>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17" w:lineRule="exact"/>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配套综合布线辅材及施工</w:t>
            </w:r>
          </w:p>
        </w:tc>
        <w:tc>
          <w:tcPr>
            <w:tcW w:w="271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hint="default" w:ascii="Times New Roman" w:hAnsi="Times New Roman" w:eastAsia="仿宋" w:cs="Times New Roman"/>
                <w:sz w:val="24"/>
                <w:szCs w:val="24"/>
              </w:rPr>
            </w:pPr>
          </w:p>
        </w:tc>
        <w:tc>
          <w:tcPr>
            <w:tcW w:w="487"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rPr>
              <w:t>1</w:t>
            </w:r>
          </w:p>
        </w:tc>
        <w:tc>
          <w:tcPr>
            <w:tcW w:w="1400" w:type="dxa"/>
            <w:tcBorders>
              <w:top w:val="single" w:color="auto" w:sz="4" w:space="0"/>
              <w:left w:val="single" w:color="auto" w:sz="4" w:space="0"/>
              <w:bottom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158125.00</w:t>
            </w:r>
          </w:p>
        </w:tc>
        <w:tc>
          <w:tcPr>
            <w:tcW w:w="136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color w:val="000000"/>
                <w:spacing w:val="0"/>
                <w:w w:val="100"/>
                <w:position w:val="0"/>
                <w:sz w:val="24"/>
                <w:szCs w:val="24"/>
                <w:lang w:val="en-US" w:eastAsia="en-US" w:bidi="en-US"/>
              </w:rPr>
              <w:t>158125.</w:t>
            </w:r>
            <w:r>
              <w:rPr>
                <w:rFonts w:hint="default" w:ascii="Times New Roman" w:hAnsi="Times New Roman" w:eastAsia="仿宋" w:cs="Times New Roman"/>
                <w:color w:val="000000"/>
                <w:spacing w:val="0"/>
                <w:w w:val="100"/>
                <w:position w:val="0"/>
                <w:sz w:val="24"/>
                <w:szCs w:val="24"/>
              </w:rPr>
              <w:t>00</w:t>
            </w:r>
          </w:p>
        </w:tc>
      </w:tr>
      <w:tr>
        <w:tblPrEx>
          <w:tblLayout w:type="fixed"/>
          <w:tblCellMar>
            <w:top w:w="0" w:type="dxa"/>
            <w:left w:w="10" w:type="dxa"/>
            <w:bottom w:w="0" w:type="dxa"/>
            <w:right w:w="10" w:type="dxa"/>
          </w:tblCellMar>
        </w:tblPrEx>
        <w:trPr>
          <w:trHeight w:val="667" w:hRule="exact"/>
          <w:jc w:val="center"/>
        </w:trPr>
        <w:tc>
          <w:tcPr>
            <w:tcW w:w="8494"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仿宋" w:cs="Times New Roman"/>
                <w:color w:val="000000"/>
                <w:spacing w:val="0"/>
                <w:w w:val="100"/>
                <w:position w:val="0"/>
                <w:sz w:val="24"/>
                <w:szCs w:val="24"/>
                <w:lang w:val="en-US" w:eastAsia="en-US" w:bidi="en-US"/>
              </w:rPr>
            </w:pPr>
            <w:r>
              <w:rPr>
                <w:rFonts w:hint="default" w:ascii="Times New Roman" w:hAnsi="Times New Roman" w:eastAsia="仿宋" w:cs="Times New Roman"/>
                <w:color w:val="000000"/>
                <w:spacing w:val="0"/>
                <w:w w:val="100"/>
                <w:position w:val="0"/>
                <w:sz w:val="28"/>
                <w:szCs w:val="28"/>
              </w:rPr>
              <w:t>合计总额：（大写）：人民币</w:t>
            </w:r>
            <w:r>
              <w:rPr>
                <w:rFonts w:hint="default" w:ascii="Times New Roman" w:hAnsi="Times New Roman" w:eastAsia="仿宋" w:cs="Times New Roman"/>
                <w:color w:val="000000"/>
                <w:spacing w:val="0"/>
                <w:w w:val="100"/>
                <w:position w:val="0"/>
                <w:sz w:val="28"/>
                <w:szCs w:val="28"/>
                <w:u w:val="single"/>
                <w:lang w:eastAsia="zh-CN"/>
              </w:rPr>
              <w:t>叁</w:t>
            </w:r>
            <w:r>
              <w:rPr>
                <w:rFonts w:hint="default" w:ascii="Times New Roman" w:hAnsi="Times New Roman" w:eastAsia="仿宋" w:cs="Times New Roman"/>
                <w:color w:val="000000"/>
                <w:spacing w:val="0"/>
                <w:w w:val="100"/>
                <w:position w:val="0"/>
                <w:sz w:val="28"/>
                <w:szCs w:val="28"/>
                <w:u w:val="single"/>
              </w:rPr>
              <w:t>佰贰拾捌万</w:t>
            </w:r>
            <w:r>
              <w:rPr>
                <w:rFonts w:hint="default" w:ascii="Times New Roman" w:hAnsi="Times New Roman" w:eastAsia="仿宋" w:cs="Times New Roman"/>
                <w:color w:val="000000"/>
                <w:spacing w:val="0"/>
                <w:w w:val="100"/>
                <w:position w:val="0"/>
                <w:sz w:val="28"/>
                <w:szCs w:val="28"/>
              </w:rPr>
              <w:t>元,（小写）</w:t>
            </w:r>
            <w:r>
              <w:rPr>
                <w:rFonts w:hint="default" w:ascii="Times New Roman" w:hAnsi="Times New Roman" w:eastAsia="仿宋" w:cs="Times New Roman"/>
                <w:color w:val="000000"/>
                <w:spacing w:val="0"/>
                <w:w w:val="100"/>
                <w:position w:val="0"/>
                <w:sz w:val="28"/>
                <w:szCs w:val="28"/>
                <w:lang w:val="en-US" w:eastAsia="en-US" w:bidi="en-US"/>
              </w:rPr>
              <w:t>¥</w:t>
            </w:r>
            <w:r>
              <w:rPr>
                <w:rFonts w:hint="default" w:ascii="Times New Roman" w:hAnsi="Times New Roman" w:eastAsia="仿宋" w:cs="Times New Roman"/>
                <w:color w:val="000000"/>
                <w:spacing w:val="0"/>
                <w:w w:val="100"/>
                <w:position w:val="0"/>
                <w:sz w:val="28"/>
                <w:szCs w:val="28"/>
                <w:u w:val="single"/>
                <w:lang w:val="en-US" w:eastAsia="en-US" w:bidi="en-US"/>
              </w:rPr>
              <w:t>3280000.00</w:t>
            </w:r>
            <w:r>
              <w:rPr>
                <w:rFonts w:hint="default" w:ascii="Times New Roman" w:hAnsi="Times New Roman" w:eastAsia="仿宋" w:cs="Times New Roman"/>
                <w:color w:val="000000"/>
                <w:spacing w:val="0"/>
                <w:w w:val="100"/>
                <w:position w:val="0"/>
                <w:sz w:val="28"/>
                <w:szCs w:val="28"/>
              </w:rPr>
              <w:t>元</w:t>
            </w:r>
          </w:p>
        </w:tc>
      </w:tr>
    </w:tbl>
    <w:p>
      <w:pPr>
        <w:numPr>
          <w:ilvl w:val="0"/>
          <w:numId w:val="2"/>
        </w:numPr>
        <w:ind w:left="0"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儿童口腔科八台牙科综合治疗台，编号010200000395-010200000402，账面型号为卡斯特里尼，实物型号为KAVO 1058。</w:t>
      </w:r>
    </w:p>
    <w:p>
      <w:pPr>
        <w:numPr>
          <w:ilvl w:val="0"/>
          <w:numId w:val="0"/>
        </w:numPr>
        <w:ind w:left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四、整改</w:t>
      </w:r>
    </w:p>
    <w:p>
      <w:pPr>
        <w:numPr>
          <w:ilvl w:val="0"/>
          <w:numId w:val="0"/>
        </w:numPr>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（一）根据上年盘点中发现的因核销固定资产的流程不规范，财厅退回资产系统数据的问题，已处理。</w:t>
      </w:r>
    </w:p>
    <w:p>
      <w:pPr>
        <w:numPr>
          <w:ilvl w:val="0"/>
          <w:numId w:val="0"/>
        </w:numPr>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（二）上述科教科</w:t>
      </w:r>
      <w:r>
        <w:rPr>
          <w:rFonts w:hint="eastAsia" w:ascii="宋体" w:hAnsi="宋体" w:eastAsia="宋体" w:cs="宋体"/>
          <w:sz w:val="28"/>
          <w:szCs w:val="28"/>
          <w:lang w:val="en-US" w:eastAsia="zh-CN"/>
        </w:rPr>
        <w:t>远程医疗系统设备编号010100000105的问题，已要求科室寻回部分清单内设备。</w:t>
      </w:r>
    </w:p>
    <w:p>
      <w:pPr>
        <w:numPr>
          <w:ilvl w:val="0"/>
          <w:numId w:val="0"/>
        </w:numPr>
        <w:ind w:left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五、措施及建议</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（一）完善制度。结合新政策，完善暂存库的管理，规范报废物品的进出管理流程，完善我院的固定资产管理制度。</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（二）明确职责。进一步明确固定资产管理各职能部门和人员的职责和权限，细分资产位置，落实到管理人。</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（三）加强监管。严格执行固定资产管理制度，定期清查。重视办理资产移交和监交手续，确保人走账清，防止资产流失。</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（四）提高重视。加强培训。</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（五）制定资产配置标准。减少闲置资产造成资源浪费。</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（六）加强信息化。采用信息化管理方式进行盘点，提高效率。</w:t>
      </w:r>
    </w:p>
    <w:p>
      <w:pPr>
        <w:numPr>
          <w:ilvl w:val="0"/>
          <w:numId w:val="0"/>
        </w:numPr>
        <w:ind w:firstLine="560" w:firstLineChars="200"/>
        <w:jc w:val="right"/>
        <w:rPr>
          <w:rFonts w:hint="eastAsia" w:ascii="宋体" w:hAnsi="宋体" w:eastAsia="宋体" w:cs="宋体"/>
          <w:sz w:val="28"/>
          <w:szCs w:val="28"/>
          <w:lang w:val="en-US" w:eastAsia="zh-CN"/>
        </w:rPr>
      </w:pPr>
    </w:p>
    <w:p>
      <w:pPr>
        <w:numPr>
          <w:ilvl w:val="0"/>
          <w:numId w:val="0"/>
        </w:numPr>
        <w:wordWrap/>
        <w:ind w:firstLine="560" w:firstLineChars="200"/>
        <w:jc w:val="righ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南方医科大学口腔医院    </w:t>
      </w:r>
    </w:p>
    <w:p>
      <w:pPr>
        <w:numPr>
          <w:ilvl w:val="0"/>
          <w:numId w:val="0"/>
        </w:numPr>
        <w:wordWrap w:val="0"/>
        <w:ind w:firstLine="560" w:firstLineChars="200"/>
        <w:jc w:val="right"/>
        <w:rPr>
          <w:rFonts w:hint="default"/>
          <w:lang w:val="en-US"/>
        </w:rPr>
      </w:pPr>
      <w:r>
        <w:rPr>
          <w:rFonts w:hint="eastAsia" w:ascii="宋体" w:hAnsi="宋体" w:eastAsia="宋体" w:cs="宋体"/>
          <w:sz w:val="28"/>
          <w:szCs w:val="28"/>
          <w:lang w:val="en-US" w:eastAsia="zh-CN"/>
        </w:rPr>
        <w:t xml:space="preserve">2023年1月28日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83701"/>
    <w:multiLevelType w:val="singleLevel"/>
    <w:tmpl w:val="D2D83701"/>
    <w:lvl w:ilvl="0" w:tentative="0">
      <w:start w:val="1"/>
      <w:numFmt w:val="chineseCounting"/>
      <w:suff w:val="nothing"/>
      <w:lvlText w:val="（%1）"/>
      <w:lvlJc w:val="left"/>
      <w:rPr>
        <w:rFonts w:hint="eastAsia"/>
      </w:rPr>
    </w:lvl>
  </w:abstractNum>
  <w:abstractNum w:abstractNumId="1">
    <w:nsid w:val="36EEBE18"/>
    <w:multiLevelType w:val="singleLevel"/>
    <w:tmpl w:val="36EEBE18"/>
    <w:lvl w:ilvl="0" w:tentative="0">
      <w:start w:val="1"/>
      <w:numFmt w:val="chineseCounting"/>
      <w:suff w:val="nothing"/>
      <w:lvlText w:val="%1、"/>
      <w:lvlJc w:val="left"/>
      <w:rPr>
        <w:rFonts w:hint="eastAsia"/>
      </w:rPr>
    </w:lvl>
  </w:abstractNum>
  <w:abstractNum w:abstractNumId="2">
    <w:nsid w:val="37B3C9FB"/>
    <w:multiLevelType w:val="singleLevel"/>
    <w:tmpl w:val="37B3C9FB"/>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2MTIxYTUyOWMyZjVjZGI3NmZmMDdkODk0YmIifQ=="/>
  </w:docVars>
  <w:rsids>
    <w:rsidRoot w:val="20F4461A"/>
    <w:rsid w:val="004A2FC1"/>
    <w:rsid w:val="00606F69"/>
    <w:rsid w:val="0076643B"/>
    <w:rsid w:val="00CA590E"/>
    <w:rsid w:val="025F7A6D"/>
    <w:rsid w:val="10584429"/>
    <w:rsid w:val="114E349B"/>
    <w:rsid w:val="149E0D4F"/>
    <w:rsid w:val="189765F9"/>
    <w:rsid w:val="20F4461A"/>
    <w:rsid w:val="2BB45BF9"/>
    <w:rsid w:val="30F715A9"/>
    <w:rsid w:val="324026DC"/>
    <w:rsid w:val="3EF138DA"/>
    <w:rsid w:val="488E7488"/>
    <w:rsid w:val="557B0D6A"/>
    <w:rsid w:val="5DD51E4F"/>
    <w:rsid w:val="613A09C8"/>
    <w:rsid w:val="66CE5CEC"/>
    <w:rsid w:val="760475B4"/>
    <w:rsid w:val="7E006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snapToGrid w:val="0"/>
      <w:jc w:val="left"/>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footnote reference"/>
    <w:basedOn w:val="9"/>
    <w:qFormat/>
    <w:uiPriority w:val="0"/>
    <w:rPr>
      <w:vertAlign w:val="superscript"/>
    </w:rPr>
  </w:style>
  <w:style w:type="paragraph" w:customStyle="1" w:styleId="11">
    <w:name w:val="Other|1"/>
    <w:basedOn w:val="1"/>
    <w:qFormat/>
    <w:uiPriority w:val="0"/>
    <w:pPr>
      <w:widowControl w:val="0"/>
      <w:shd w:val="clear" w:color="auto" w:fill="auto"/>
    </w:pPr>
    <w:rPr>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456</Words>
  <Characters>466</Characters>
  <Lines>1</Lines>
  <Paragraphs>13</Paragraphs>
  <TotalTime>1</TotalTime>
  <ScaleCrop>false</ScaleCrop>
  <LinksUpToDate>false</LinksUpToDate>
  <CharactersWithSpaces>471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2021-06-03T05:19:00Z</dcterms:created>
  <dc:creator>杨菁</dc:creator>
  <cp:lastModifiedBy>邱紫君</cp:lastModifiedBy>
  <cp:lastPrinted>2022-05-18T09:21:00Z</cp:lastPrinted>
  <dcterms:modified xsi:type="dcterms:W3CDTF">2023-03-09T08:23:48Z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y fmtid="{D5CDD505-2E9C-101B-9397-08002B2CF9AE}" pid="3" name="ICV">
    <vt:lpwstr>8982E3337B9F465E848C90D7A46BD7B4</vt:lpwstr>
  </property>
</Properties>
</file>