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6"/>
          <w:szCs w:val="36"/>
          <w:lang w:val="en-US" w:eastAsia="zh-CN"/>
        </w:rPr>
      </w:pPr>
      <w:bookmarkStart w:id="0" w:name="_GoBack"/>
      <w:r>
        <w:rPr>
          <w:rFonts w:hint="eastAsia"/>
          <w:b/>
          <w:sz w:val="36"/>
          <w:szCs w:val="36"/>
          <w:lang w:val="en-US" w:eastAsia="zh-CN"/>
        </w:rPr>
        <w:t>南方医科大学口腔医院番禺院区污水在线监测（控）运营项目市场调研函</w:t>
      </w:r>
    </w:p>
    <w:bookmarkEnd w:id="0"/>
    <w:p>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现邀请有意向的单位根据我院对需求进行参与。参与办法如下：</w:t>
      </w:r>
    </w:p>
    <w:p>
      <w:pPr>
        <w:spacing w:line="240" w:lineRule="auto"/>
        <w:ind w:firstLine="562" w:firstLineChars="200"/>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一、项目编号：</w:t>
      </w:r>
      <w:r>
        <w:rPr>
          <w:rFonts w:hint="eastAsia" w:ascii="宋体" w:hAnsi="宋体" w:eastAsia="宋体" w:cs="宋体"/>
          <w:b w:val="0"/>
          <w:bCs w:val="0"/>
          <w:sz w:val="28"/>
          <w:szCs w:val="28"/>
          <w:lang w:val="en-US" w:eastAsia="zh-CN"/>
        </w:rPr>
        <w:t>20240305001（133301）</w:t>
      </w:r>
    </w:p>
    <w:p>
      <w:pPr>
        <w:spacing w:line="240" w:lineRule="auto"/>
        <w:ind w:firstLine="562" w:firstLineChars="200"/>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二、报名时间</w:t>
      </w:r>
      <w:r>
        <w:rPr>
          <w:rFonts w:hint="eastAsia" w:ascii="宋体" w:hAnsi="宋体" w:eastAsia="宋体" w:cs="宋体"/>
          <w:b w:val="0"/>
          <w:bCs w:val="0"/>
          <w:sz w:val="28"/>
          <w:szCs w:val="28"/>
          <w:lang w:val="en-US" w:eastAsia="zh-CN"/>
        </w:rPr>
        <w:t>：公告发出之日起7个日历天</w:t>
      </w:r>
    </w:p>
    <w:p>
      <w:pPr>
        <w:spacing w:line="240" w:lineRule="auto"/>
        <w:ind w:firstLine="562" w:firstLineChars="200"/>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三、报名方式：</w:t>
      </w:r>
      <w:r>
        <w:rPr>
          <w:rFonts w:hint="eastAsia" w:ascii="宋体" w:hAnsi="宋体" w:eastAsia="宋体" w:cs="宋体"/>
          <w:b w:val="0"/>
          <w:bCs w:val="0"/>
          <w:sz w:val="28"/>
          <w:szCs w:val="28"/>
          <w:lang w:val="en-US" w:eastAsia="zh-CN"/>
        </w:rPr>
        <w:t>请意向参与市场调研公司于截止时间前按报名材料要求提交：</w:t>
      </w:r>
      <w:r>
        <w:rPr>
          <w:rFonts w:hint="eastAsia" w:ascii="宋体" w:hAnsi="宋体" w:eastAsia="宋体" w:cs="宋体"/>
          <w:b/>
          <w:bCs/>
          <w:sz w:val="28"/>
          <w:szCs w:val="28"/>
          <w:lang w:val="en-US" w:eastAsia="zh-CN"/>
        </w:rPr>
        <w:t>纸质资料1份（加盖公章+密封）</w:t>
      </w:r>
      <w:r>
        <w:rPr>
          <w:rFonts w:hint="eastAsia" w:ascii="宋体" w:hAnsi="宋体" w:eastAsia="宋体" w:cs="宋体"/>
          <w:b w:val="0"/>
          <w:bCs w:val="0"/>
          <w:sz w:val="28"/>
          <w:szCs w:val="28"/>
          <w:lang w:val="en-US" w:eastAsia="zh-CN"/>
        </w:rPr>
        <w:t>。</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联系人：陈小姐 020-84427043</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资料递交地址：广州市海珠区江南大道南368-1号三楼总务科</w:t>
      </w:r>
    </w:p>
    <w:p>
      <w:pPr>
        <w:spacing w:line="240" w:lineRule="auto"/>
        <w:ind w:firstLine="562" w:firstLineChars="200"/>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四、报名资料（所有资料均需盖公章）</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报名材料需设置封面页及目录页，封面页内容包括项目编号、项目名称、公司名称、项目联系人姓名及手机号码，页面内容按市场调研函序列编排，报价函放置最后。</w:t>
      </w:r>
    </w:p>
    <w:p>
      <w:pPr>
        <w:spacing w:line="240" w:lineRule="auto"/>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五、相关说明</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1、如需组织现场市场调研会议，将另行通知已报名企业，由此导致的与本项目有关的任何损失自行承担。</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2、报名截止后，我院将组织相关人员根据报名材料按照医院制度进行调研。</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3、本调研不承诺和最终购置关联，最终解释权归本院所有。</w:t>
      </w:r>
    </w:p>
    <w:p>
      <w:pPr>
        <w:numPr>
          <w:ilvl w:val="0"/>
          <w:numId w:val="0"/>
        </w:numPr>
        <w:spacing w:line="24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lang w:val="en-US" w:eastAsia="zh-CN"/>
        </w:rPr>
        <w:t>六、项目联系人及联系方式</w:t>
      </w:r>
      <w:r>
        <w:rPr>
          <w:rFonts w:hint="eastAsia" w:ascii="宋体" w:hAnsi="宋体" w:eastAsia="宋体" w:cs="宋体"/>
          <w:b/>
          <w:bCs/>
          <w:sz w:val="28"/>
          <w:szCs w:val="28"/>
        </w:rPr>
        <w:t>：</w:t>
      </w:r>
    </w:p>
    <w:p>
      <w:pPr>
        <w:spacing w:line="240" w:lineRule="auto"/>
        <w:ind w:firstLine="560" w:firstLineChars="200"/>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1.名称：南方医科大学口腔医院（广东省口腔医院）番禺院区</w:t>
      </w:r>
    </w:p>
    <w:p>
      <w:pPr>
        <w:spacing w:line="240" w:lineRule="auto"/>
        <w:ind w:firstLine="560" w:firstLineChars="200"/>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2.联系人：宋老师</w:t>
      </w:r>
    </w:p>
    <w:p>
      <w:pPr>
        <w:spacing w:line="240" w:lineRule="auto"/>
        <w:ind w:firstLine="560" w:firstLineChars="200"/>
        <w:rPr>
          <w:rFonts w:hint="eastAsia" w:ascii="宋体" w:hAnsi="宋体" w:eastAsia="宋体" w:cs="宋体"/>
          <w:b/>
          <w:bCs/>
          <w:sz w:val="28"/>
          <w:szCs w:val="28"/>
        </w:rPr>
      </w:pPr>
      <w:r>
        <w:rPr>
          <w:rFonts w:hint="eastAsia" w:ascii="宋体" w:hAnsi="宋体" w:eastAsia="宋体" w:cs="宋体"/>
          <w:b w:val="0"/>
          <w:bCs w:val="0"/>
          <w:sz w:val="28"/>
          <w:szCs w:val="28"/>
          <w:lang w:val="en-US" w:eastAsia="zh-CN"/>
        </w:rPr>
        <w:t>3.联系电话：020-34812518</w:t>
      </w:r>
    </w:p>
    <w:p>
      <w:pPr>
        <w:numPr>
          <w:ilvl w:val="0"/>
          <w:numId w:val="0"/>
        </w:numPr>
        <w:spacing w:line="240" w:lineRule="auto"/>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七、项目需求书</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（一）资金性质/来源：医院</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（二）服务地点：南方医科大学口腔医院番禺院区</w:t>
      </w:r>
    </w:p>
    <w:p>
      <w:pPr>
        <w:spacing w:line="240" w:lineRule="auto"/>
        <w:ind w:firstLine="1400" w:firstLineChars="5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地址：广州番禺新艺路12号</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（三）服务期限：三年，期间合同一年一签</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（四）投标人资格：</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 必须是具有独立承担民事责任能力的在中华人民共和国境内注册的法人或其他组织，分公司投标的，必须由具有法人资格的总公司授权。</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 必须具有国家相关部门核准的行业资质、营业执照、税务登记等资质性文件。</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 具备《中华人民共和国政府采购法》第二十二条资格条件；</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3.1 投标人必须具有良好的商业信誉和健全的财务会计制度且有依法缴纳税收和社会保障资金的良好记录；（提供由第三方机构出具体现财务状况的证明文件或银行出具的资信证明或专业担保机构出具的政府采购投标担保函；近期依法缴纳税收和社会保障资金的相关材料复印件）</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3.2 具有履行合同所必需的设备和专业技术能力；（需提供相关证明材料复印件）</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3.3 投标人参加政府采购活动前三年内，在经营活动中没有重大违法记录；</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3.4 投标人必须符合法律、行政法规规定的其他条件。</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 不同的投标人之间有下列情形之一的，不接受作为参与同一采购项目竞争的投标人：</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4.1 法定代表人或单位负责人为同一人或者存在直接控股、管理关系的投标人。</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4.2 为采购项目提供整体设计、规范编制或者项目管理、监理、检测等服务的投标人。</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 按照《财政部关于在政府采购活动中查询及使用信用记录有关问题的通知》（财库（2016）125号）的要求，被“信用中国”网站、“中国政府采购网”网站列入失信被执行人、重大税收违法案件当事人名单、政府采购严重违法失信行为记录名单的，不得参与本项目的政府采购活动。</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6. 投标人只允许为独立法人，不接受联合投标体投标，不得转包、分包。</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（五）服务要求：</w:t>
      </w:r>
    </w:p>
    <w:p>
      <w:pPr>
        <w:spacing w:line="240" w:lineRule="auto"/>
        <w:ind w:firstLine="560" w:firstLineChars="200"/>
        <w:rPr>
          <w:rFonts w:hint="eastAsia" w:ascii="宋体" w:hAnsi="宋体" w:eastAsia="宋体" w:cs="宋体"/>
          <w:b w:val="0"/>
          <w:bCs w:val="0"/>
          <w:sz w:val="28"/>
          <w:szCs w:val="28"/>
          <w:lang w:val="zh-CN" w:eastAsia="zh-CN"/>
        </w:rPr>
      </w:pPr>
      <w:r>
        <w:rPr>
          <w:rFonts w:hint="eastAsia" w:ascii="宋体" w:hAnsi="宋体" w:eastAsia="宋体" w:cs="宋体"/>
          <w:b w:val="0"/>
          <w:bCs w:val="0"/>
          <w:sz w:val="28"/>
          <w:szCs w:val="28"/>
          <w:lang w:val="zh-CN" w:eastAsia="zh-CN"/>
        </w:rPr>
        <w:t>根据番禺区环境监测大队相关文件的要求，在线监测（监控）系统的运营工作包括在线监测（监控）系统的运行、校准、比对、记录相关台账等工作;</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1、在线监测仪器设备的日常运行保养。</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2、试剂的配置与更换。</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3、标液的配置与仪器的定期校验和校准。</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4、在线监测仪器所有易损件、零配件的维护、保养和更换。（确保为原厂配件）承担更换正常损耗配件所产生的一切费用。</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5、就本合同委托关系须提交相关运营资质文件在番禺区监察大队备案。</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6、定期（每周）向环保主管部门提供运营维护的工作记录，并当面陈述。</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7、建立相关技术档案，按环保主管部门要求提交比对监测报告。</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8、约束本司工作人员在现场作业时须遵守甲方的管理制度。</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9、负责按时对设备进行第三方计量校准，计量校准费用由乙方负责。</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（六）委托在线监测设备清单：</w:t>
      </w:r>
    </w:p>
    <w:tbl>
      <w:tblPr>
        <w:tblStyle w:val="10"/>
        <w:tblW w:w="7675" w:type="dxa"/>
        <w:tblInd w:w="8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5184"/>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35" w:type="dxa"/>
            <w:noWrap w:val="0"/>
            <w:vAlign w:val="top"/>
          </w:tcPr>
          <w:p>
            <w:pPr>
              <w:spacing w:line="240" w:lineRule="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序号</w:t>
            </w:r>
          </w:p>
        </w:tc>
        <w:tc>
          <w:tcPr>
            <w:tcW w:w="5184" w:type="dxa"/>
            <w:noWrap w:val="0"/>
            <w:vAlign w:val="top"/>
          </w:tcPr>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设  备  名  称</w:t>
            </w:r>
          </w:p>
        </w:tc>
        <w:tc>
          <w:tcPr>
            <w:tcW w:w="1656" w:type="dxa"/>
            <w:noWrap w:val="0"/>
            <w:vAlign w:val="top"/>
          </w:tcPr>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35" w:type="dxa"/>
            <w:noWrap w:val="0"/>
            <w:vAlign w:val="top"/>
          </w:tcPr>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w:t>
            </w:r>
          </w:p>
        </w:tc>
        <w:tc>
          <w:tcPr>
            <w:tcW w:w="5184" w:type="dxa"/>
            <w:noWrap w:val="0"/>
            <w:vAlign w:val="top"/>
          </w:tcPr>
          <w:p>
            <w:pPr>
              <w:spacing w:line="240" w:lineRule="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COD水质自动在线监测仪</w:t>
            </w:r>
          </w:p>
        </w:tc>
        <w:tc>
          <w:tcPr>
            <w:tcW w:w="1656" w:type="dxa"/>
            <w:noWrap w:val="0"/>
            <w:vAlign w:val="top"/>
          </w:tcPr>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35" w:type="dxa"/>
            <w:noWrap w:val="0"/>
            <w:vAlign w:val="top"/>
          </w:tcPr>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w:t>
            </w:r>
          </w:p>
        </w:tc>
        <w:tc>
          <w:tcPr>
            <w:tcW w:w="5184" w:type="dxa"/>
            <w:noWrap w:val="0"/>
            <w:vAlign w:val="top"/>
          </w:tcPr>
          <w:p>
            <w:pPr>
              <w:spacing w:line="240" w:lineRule="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流量计</w:t>
            </w:r>
          </w:p>
        </w:tc>
        <w:tc>
          <w:tcPr>
            <w:tcW w:w="1656" w:type="dxa"/>
            <w:noWrap w:val="0"/>
            <w:vAlign w:val="top"/>
          </w:tcPr>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35" w:type="dxa"/>
            <w:noWrap w:val="0"/>
            <w:vAlign w:val="top"/>
          </w:tcPr>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w:t>
            </w:r>
          </w:p>
        </w:tc>
        <w:tc>
          <w:tcPr>
            <w:tcW w:w="5184" w:type="dxa"/>
            <w:noWrap w:val="0"/>
            <w:vAlign w:val="top"/>
          </w:tcPr>
          <w:p>
            <w:pPr>
              <w:spacing w:line="240" w:lineRule="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数据采集控制系统</w:t>
            </w:r>
          </w:p>
        </w:tc>
        <w:tc>
          <w:tcPr>
            <w:tcW w:w="1656" w:type="dxa"/>
            <w:noWrap w:val="0"/>
            <w:vAlign w:val="top"/>
          </w:tcPr>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35" w:type="dxa"/>
            <w:noWrap w:val="0"/>
            <w:vAlign w:val="top"/>
          </w:tcPr>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w:t>
            </w:r>
          </w:p>
        </w:tc>
        <w:tc>
          <w:tcPr>
            <w:tcW w:w="5184" w:type="dxa"/>
            <w:noWrap w:val="0"/>
            <w:vAlign w:val="top"/>
          </w:tcPr>
          <w:p>
            <w:pPr>
              <w:spacing w:line="240" w:lineRule="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PH计</w:t>
            </w:r>
          </w:p>
        </w:tc>
        <w:tc>
          <w:tcPr>
            <w:tcW w:w="1656" w:type="dxa"/>
            <w:noWrap w:val="0"/>
            <w:vAlign w:val="top"/>
          </w:tcPr>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35" w:type="dxa"/>
            <w:noWrap w:val="0"/>
            <w:vAlign w:val="top"/>
          </w:tcPr>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w:t>
            </w:r>
          </w:p>
        </w:tc>
        <w:tc>
          <w:tcPr>
            <w:tcW w:w="5184" w:type="dxa"/>
            <w:noWrap w:val="0"/>
            <w:vAlign w:val="top"/>
          </w:tcPr>
          <w:p>
            <w:pPr>
              <w:spacing w:line="240" w:lineRule="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自动采样器</w:t>
            </w:r>
          </w:p>
        </w:tc>
        <w:tc>
          <w:tcPr>
            <w:tcW w:w="1656" w:type="dxa"/>
            <w:noWrap w:val="0"/>
            <w:vAlign w:val="top"/>
          </w:tcPr>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35" w:type="dxa"/>
            <w:noWrap w:val="0"/>
            <w:vAlign w:val="top"/>
          </w:tcPr>
          <w:p>
            <w:pPr>
              <w:spacing w:line="240" w:lineRule="auto"/>
              <w:ind w:firstLine="560" w:firstLineChars="200"/>
              <w:rPr>
                <w:rFonts w:hint="eastAsia" w:ascii="宋体" w:hAnsi="宋体" w:eastAsia="宋体" w:cs="宋体"/>
                <w:b w:val="0"/>
                <w:bCs w:val="0"/>
                <w:sz w:val="28"/>
                <w:szCs w:val="28"/>
                <w:lang w:val="en-US" w:eastAsia="zh-CN"/>
              </w:rPr>
            </w:pPr>
          </w:p>
        </w:tc>
        <w:tc>
          <w:tcPr>
            <w:tcW w:w="6840" w:type="dxa"/>
            <w:gridSpan w:val="2"/>
            <w:noWrap w:val="0"/>
            <w:vAlign w:val="top"/>
          </w:tcPr>
          <w:p>
            <w:pPr>
              <w:spacing w:line="240" w:lineRule="auto"/>
              <w:ind w:firstLine="560" w:firstLineChars="200"/>
              <w:rPr>
                <w:rFonts w:hint="eastAsia" w:ascii="宋体" w:hAnsi="宋体" w:eastAsia="宋体" w:cs="宋体"/>
                <w:b w:val="0"/>
                <w:bCs w:val="0"/>
                <w:sz w:val="28"/>
                <w:szCs w:val="28"/>
                <w:lang w:val="en-US" w:eastAsia="zh-CN"/>
              </w:rPr>
            </w:pPr>
          </w:p>
        </w:tc>
      </w:tr>
    </w:tbl>
    <w:p>
      <w:pPr>
        <w:spacing w:line="240" w:lineRule="auto"/>
        <w:ind w:firstLine="560" w:firstLineChars="200"/>
        <w:rPr>
          <w:rFonts w:hint="eastAsia" w:ascii="宋体" w:hAnsi="宋体" w:eastAsia="宋体" w:cs="宋体"/>
          <w:b w:val="0"/>
          <w:bCs w:val="0"/>
          <w:sz w:val="28"/>
          <w:szCs w:val="28"/>
          <w:lang w:val="en-US" w:eastAsia="zh-CN"/>
        </w:rPr>
      </w:pPr>
    </w:p>
    <w:p>
      <w:pPr>
        <w:spacing w:line="240" w:lineRule="auto"/>
        <w:ind w:firstLine="560" w:firstLineChars="200"/>
        <w:rPr>
          <w:rFonts w:hint="eastAsia" w:ascii="宋体" w:hAnsi="宋体" w:eastAsia="宋体" w:cs="宋体"/>
          <w:b w:val="0"/>
          <w:bCs w:val="0"/>
          <w:sz w:val="28"/>
          <w:szCs w:val="28"/>
          <w:lang w:val="en-US" w:eastAsia="zh-CN"/>
        </w:rPr>
      </w:pPr>
    </w:p>
    <w:p>
      <w:pPr>
        <w:spacing w:line="240" w:lineRule="auto"/>
        <w:ind w:firstLine="560" w:firstLineChars="200"/>
        <w:rPr>
          <w:rFonts w:hint="default" w:ascii="宋体" w:hAnsi="宋体" w:eastAsia="宋体" w:cs="宋体"/>
          <w:b w:val="0"/>
          <w:bCs w:val="0"/>
          <w:sz w:val="28"/>
          <w:szCs w:val="28"/>
          <w:lang w:val="en-US" w:eastAsia="zh-CN"/>
        </w:rPr>
      </w:pPr>
    </w:p>
    <w:p>
      <w:pPr>
        <w:spacing w:line="240" w:lineRule="auto"/>
        <w:ind w:firstLine="560" w:firstLineChars="200"/>
        <w:rPr>
          <w:rFonts w:hint="eastAsia" w:ascii="宋体" w:hAnsi="宋体" w:eastAsia="宋体" w:cs="宋体"/>
          <w:b w:val="0"/>
          <w:bCs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chineseCountingThousand"/>
      <w:pStyle w:val="19"/>
      <w:lvlText w:val="%1、"/>
      <w:lvlJc w:val="left"/>
      <w:pPr>
        <w:tabs>
          <w:tab w:val="left" w:pos="425"/>
        </w:tabs>
        <w:ind w:left="425" w:hanging="425"/>
      </w:pPr>
      <w:rPr>
        <w:rFonts w:hint="eastAsia"/>
        <w:lang w:val="en-US"/>
      </w:rPr>
    </w:lvl>
    <w:lvl w:ilvl="1" w:tentative="0">
      <w:start w:val="1"/>
      <w:numFmt w:val="decimal"/>
      <w:lvlText w:val="%2."/>
      <w:lvlJc w:val="left"/>
      <w:pPr>
        <w:tabs>
          <w:tab w:val="left" w:pos="420"/>
        </w:tabs>
        <w:ind w:left="420" w:hanging="420"/>
      </w:pPr>
      <w:rPr>
        <w:rFonts w:hint="eastAsia"/>
      </w:rPr>
    </w:lvl>
    <w:lvl w:ilvl="2" w:tentative="0">
      <w:start w:val="1"/>
      <w:numFmt w:val="decimal"/>
      <w:lvlText w:val="%31.1"/>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0000007"/>
    <w:multiLevelType w:val="multilevel"/>
    <w:tmpl w:val="00000007"/>
    <w:lvl w:ilvl="0" w:tentative="0">
      <w:start w:val="1"/>
      <w:numFmt w:val="decimal"/>
      <w:pStyle w:val="20"/>
      <w:lvlText w:val="%1."/>
      <w:lvlJc w:val="left"/>
      <w:pPr>
        <w:ind w:left="846" w:hanging="420"/>
      </w:pPr>
      <w:rPr>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E4MjMwZmM1Y2UxMGQ1YmJmNzM5OTJkZTE2NzkzNWUifQ=="/>
  </w:docVars>
  <w:rsids>
    <w:rsidRoot w:val="008D528C"/>
    <w:rsid w:val="00003C89"/>
    <w:rsid w:val="0007510E"/>
    <w:rsid w:val="000A4906"/>
    <w:rsid w:val="000E782D"/>
    <w:rsid w:val="001407C9"/>
    <w:rsid w:val="001A6AD2"/>
    <w:rsid w:val="0024615C"/>
    <w:rsid w:val="0026679A"/>
    <w:rsid w:val="002A1689"/>
    <w:rsid w:val="002E55DF"/>
    <w:rsid w:val="00342C9C"/>
    <w:rsid w:val="003C5582"/>
    <w:rsid w:val="003E1657"/>
    <w:rsid w:val="005A4968"/>
    <w:rsid w:val="005C1A45"/>
    <w:rsid w:val="005E6BA3"/>
    <w:rsid w:val="006854A2"/>
    <w:rsid w:val="00710C3B"/>
    <w:rsid w:val="00712749"/>
    <w:rsid w:val="007C5BFE"/>
    <w:rsid w:val="00812D51"/>
    <w:rsid w:val="00862337"/>
    <w:rsid w:val="00870690"/>
    <w:rsid w:val="008B64F0"/>
    <w:rsid w:val="008C5516"/>
    <w:rsid w:val="008D528C"/>
    <w:rsid w:val="009C457C"/>
    <w:rsid w:val="00A152E9"/>
    <w:rsid w:val="00AD3857"/>
    <w:rsid w:val="00AD7B8A"/>
    <w:rsid w:val="00BA7410"/>
    <w:rsid w:val="00BF66EF"/>
    <w:rsid w:val="00BF78F4"/>
    <w:rsid w:val="00C8783A"/>
    <w:rsid w:val="00C960DF"/>
    <w:rsid w:val="00CD0B65"/>
    <w:rsid w:val="00D64056"/>
    <w:rsid w:val="00E20919"/>
    <w:rsid w:val="00E22899"/>
    <w:rsid w:val="00E81C55"/>
    <w:rsid w:val="00F36938"/>
    <w:rsid w:val="00F402E6"/>
    <w:rsid w:val="00FD105B"/>
    <w:rsid w:val="138C3A72"/>
    <w:rsid w:val="79D32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5">
    <w:name w:val="Balloon Text"/>
    <w:basedOn w:val="1"/>
    <w:link w:val="22"/>
    <w:autoRedefine/>
    <w:semiHidden/>
    <w:unhideWhenUsed/>
    <w:qFormat/>
    <w:uiPriority w:val="99"/>
    <w:rPr>
      <w:sz w:val="18"/>
      <w:szCs w:val="18"/>
    </w:rPr>
  </w:style>
  <w:style w:type="paragraph" w:styleId="6">
    <w:name w:val="footer"/>
    <w:basedOn w:val="1"/>
    <w:link w:val="17"/>
    <w:autoRedefine/>
    <w:unhideWhenUsed/>
    <w:qFormat/>
    <w:uiPriority w:val="99"/>
    <w:pPr>
      <w:tabs>
        <w:tab w:val="center" w:pos="4153"/>
        <w:tab w:val="right" w:pos="8306"/>
      </w:tabs>
      <w:snapToGrid w:val="0"/>
      <w:jc w:val="left"/>
    </w:pPr>
    <w:rPr>
      <w:sz w:val="18"/>
      <w:szCs w:val="18"/>
    </w:rPr>
  </w:style>
  <w:style w:type="paragraph" w:styleId="7">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qFormat/>
    <w:uiPriority w:val="39"/>
  </w:style>
  <w:style w:type="paragraph" w:styleId="9">
    <w:name w:val="toc 2"/>
    <w:basedOn w:val="1"/>
    <w:next w:val="1"/>
    <w:autoRedefine/>
    <w:unhideWhenUsed/>
    <w:qFormat/>
    <w:uiPriority w:val="39"/>
    <w:pPr>
      <w:widowControl/>
      <w:spacing w:after="100" w:line="259" w:lineRule="auto"/>
      <w:ind w:left="220"/>
      <w:jc w:val="left"/>
    </w:pPr>
    <w:rPr>
      <w:rFonts w:cs="Times New Roman"/>
      <w:kern w:val="0"/>
      <w:sz w:val="22"/>
    </w:rPr>
  </w:style>
  <w:style w:type="table" w:styleId="11">
    <w:name w:val="Table Grid"/>
    <w:basedOn w:val="10"/>
    <w:autoRedefine/>
    <w:qFormat/>
    <w:uiPriority w:val="39"/>
    <w:rPr>
      <w:kern w:val="0"/>
      <w:sz w:val="20"/>
      <w:szCs w:val="20"/>
    </w:rPr>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13">
    <w:name w:val="Strong"/>
    <w:basedOn w:val="12"/>
    <w:autoRedefine/>
    <w:qFormat/>
    <w:uiPriority w:val="22"/>
    <w:rPr>
      <w:b/>
      <w:bCs/>
    </w:rPr>
  </w:style>
  <w:style w:type="character" w:styleId="14">
    <w:name w:val="page number"/>
    <w:basedOn w:val="12"/>
    <w:qFormat/>
    <w:uiPriority w:val="0"/>
  </w:style>
  <w:style w:type="character" w:styleId="15">
    <w:name w:val="Hyperlink"/>
    <w:basedOn w:val="12"/>
    <w:autoRedefine/>
    <w:unhideWhenUsed/>
    <w:qFormat/>
    <w:uiPriority w:val="99"/>
    <w:rPr>
      <w:color w:val="0563C1" w:themeColor="hyperlink"/>
      <w:u w:val="single"/>
      <w14:textFill>
        <w14:solidFill>
          <w14:schemeClr w14:val="hlink"/>
        </w14:solidFill>
      </w14:textFill>
    </w:rPr>
  </w:style>
  <w:style w:type="character" w:customStyle="1" w:styleId="16">
    <w:name w:val="页眉 字符"/>
    <w:basedOn w:val="12"/>
    <w:link w:val="7"/>
    <w:autoRedefine/>
    <w:qFormat/>
    <w:uiPriority w:val="99"/>
    <w:rPr>
      <w:sz w:val="18"/>
      <w:szCs w:val="18"/>
    </w:rPr>
  </w:style>
  <w:style w:type="character" w:customStyle="1" w:styleId="17">
    <w:name w:val="页脚 字符"/>
    <w:basedOn w:val="12"/>
    <w:link w:val="6"/>
    <w:autoRedefine/>
    <w:qFormat/>
    <w:uiPriority w:val="99"/>
    <w:rPr>
      <w:sz w:val="18"/>
      <w:szCs w:val="18"/>
    </w:rPr>
  </w:style>
  <w:style w:type="paragraph" w:styleId="18">
    <w:name w:val="List Paragraph"/>
    <w:basedOn w:val="1"/>
    <w:autoRedefine/>
    <w:qFormat/>
    <w:uiPriority w:val="34"/>
    <w:pPr>
      <w:ind w:firstLine="420" w:firstLineChars="200"/>
    </w:pPr>
  </w:style>
  <w:style w:type="paragraph" w:customStyle="1" w:styleId="19">
    <w:name w:val="合同标题一"/>
    <w:basedOn w:val="2"/>
    <w:autoRedefine/>
    <w:qFormat/>
    <w:uiPriority w:val="0"/>
    <w:pPr>
      <w:numPr>
        <w:ilvl w:val="0"/>
        <w:numId w:val="1"/>
      </w:numPr>
      <w:tabs>
        <w:tab w:val="left" w:pos="360"/>
        <w:tab w:val="clear" w:pos="425"/>
      </w:tabs>
      <w:spacing w:line="576" w:lineRule="auto"/>
      <w:ind w:left="420" w:hanging="420"/>
    </w:pPr>
    <w:rPr>
      <w:rFonts w:ascii="宋体" w:hAnsi="宋体" w:eastAsia="宋体" w:cs="Times New Roman"/>
      <w:color w:val="000000"/>
      <w:sz w:val="24"/>
      <w:szCs w:val="24"/>
    </w:rPr>
  </w:style>
  <w:style w:type="paragraph" w:customStyle="1" w:styleId="20">
    <w:name w:val="段落编号正文"/>
    <w:basedOn w:val="1"/>
    <w:autoRedefine/>
    <w:qFormat/>
    <w:uiPriority w:val="0"/>
    <w:pPr>
      <w:numPr>
        <w:ilvl w:val="0"/>
        <w:numId w:val="2"/>
      </w:numPr>
      <w:snapToGrid w:val="0"/>
      <w:spacing w:line="360" w:lineRule="auto"/>
    </w:pPr>
    <w:rPr>
      <w:rFonts w:ascii="宋体" w:hAnsi="宋体" w:eastAsia="宋体" w:cs="Times New Roman"/>
      <w:color w:val="000000"/>
      <w:szCs w:val="21"/>
    </w:rPr>
  </w:style>
  <w:style w:type="character" w:customStyle="1" w:styleId="21">
    <w:name w:val="标题 1 字符"/>
    <w:basedOn w:val="12"/>
    <w:link w:val="2"/>
    <w:autoRedefine/>
    <w:qFormat/>
    <w:uiPriority w:val="9"/>
    <w:rPr>
      <w:b/>
      <w:bCs/>
      <w:kern w:val="44"/>
      <w:sz w:val="44"/>
      <w:szCs w:val="44"/>
    </w:rPr>
  </w:style>
  <w:style w:type="character" w:customStyle="1" w:styleId="22">
    <w:name w:val="批注框文本 字符"/>
    <w:basedOn w:val="12"/>
    <w:link w:val="5"/>
    <w:autoRedefine/>
    <w:semiHidden/>
    <w:qFormat/>
    <w:uiPriority w:val="99"/>
    <w:rPr>
      <w:sz w:val="18"/>
      <w:szCs w:val="18"/>
    </w:rPr>
  </w:style>
  <w:style w:type="paragraph" w:customStyle="1" w:styleId="23">
    <w:name w:val="TOC Heading"/>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4">
    <w:name w:val="标题 2 字符"/>
    <w:basedOn w:val="12"/>
    <w:link w:val="3"/>
    <w:autoRedefine/>
    <w:qFormat/>
    <w:uiPriority w:val="9"/>
    <w:rPr>
      <w:rFonts w:asciiTheme="majorHAnsi" w:hAnsiTheme="majorHAnsi" w:eastAsiaTheme="majorEastAsia" w:cstheme="majorBidi"/>
      <w:b/>
      <w:bCs/>
      <w:sz w:val="32"/>
      <w:szCs w:val="32"/>
    </w:rPr>
  </w:style>
  <w:style w:type="paragraph" w:customStyle="1" w:styleId="25">
    <w:name w:val="样式 样式 纯文本 + Verdana 行距: 1.5 倍行距 + 左侧:  2 字符 首行缩进:  2 字符"/>
    <w:basedOn w:val="1"/>
    <w:autoRedefine/>
    <w:qFormat/>
    <w:uiPriority w:val="0"/>
    <w:pPr>
      <w:spacing w:line="432" w:lineRule="auto"/>
      <w:ind w:left="420" w:leftChars="200" w:firstLine="420" w:firstLineChars="200"/>
    </w:pPr>
    <w:rPr>
      <w:rFonts w:ascii="Verdana" w:hAnsi="Verdana" w:eastAsia="宋体" w:cs="宋体"/>
      <w:color w:val="00000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509D1-9F71-49ED-A8DD-5027FB20A92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831</Words>
  <Characters>4739</Characters>
  <Lines>39</Lines>
  <Paragraphs>11</Paragraphs>
  <TotalTime>5</TotalTime>
  <ScaleCrop>false</ScaleCrop>
  <LinksUpToDate>false</LinksUpToDate>
  <CharactersWithSpaces>5559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2024-02-21T01:03:00Z</dcterms:created>
  <dc:creator>卓木缝</dc:creator>
  <cp:lastModifiedBy>酸奶君。</cp:lastModifiedBy>
  <dcterms:modified xsi:type="dcterms:W3CDTF">2024-03-05T09:00:35Z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ECEF010BE99B4E93A22CA7B8FF5B86A0_12</vt:lpwstr>
  </property>
</Properties>
</file>