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南方医科大学口腔医院（广东省口腔医院）科研类</w:t>
      </w:r>
      <w:r>
        <w:rPr>
          <w:rFonts w:hint="eastAsia"/>
          <w:lang w:val="en-US" w:eastAsia="zh-CN"/>
        </w:rPr>
        <w:t>仪器</w:t>
      </w:r>
      <w:r>
        <w:rPr>
          <w:rFonts w:hint="eastAsia"/>
        </w:rPr>
        <w:t>设备</w:t>
      </w:r>
      <w:r>
        <w:t>项目市场调研</w:t>
      </w:r>
      <w:r>
        <w:rPr>
          <w:rFonts w:hint="eastAsia"/>
        </w:rPr>
        <w:t>函</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10"/>
          <w:rFonts w:hint="eastAsia" w:cs="宋体" w:asciiTheme="minorEastAsia" w:hAnsiTheme="minorEastAsia"/>
          <w:color w:val="333333"/>
          <w:sz w:val="28"/>
          <w:szCs w:val="28"/>
          <w:shd w:val="clear" w:color="auto" w:fill="FFFFFF"/>
        </w:rPr>
        <w:t>项目编号：</w:t>
      </w:r>
      <w:r>
        <w:rPr>
          <w:rFonts w:cs="Times New Roman" w:asciiTheme="minorEastAsia" w:hAnsiTheme="minorEastAsia"/>
          <w:sz w:val="28"/>
          <w:szCs w:val="28"/>
          <w:shd w:val="clear" w:color="auto" w:fill="FFFFFF"/>
        </w:rPr>
        <w:t>NYKQ-KY202</w:t>
      </w:r>
      <w:r>
        <w:rPr>
          <w:rFonts w:hint="eastAsia" w:cs="Times New Roman" w:asciiTheme="minorEastAsia" w:hAnsiTheme="minorEastAsia"/>
          <w:sz w:val="28"/>
          <w:szCs w:val="28"/>
          <w:shd w:val="clear" w:color="auto" w:fill="FFFFFF"/>
          <w:lang w:val="en-US" w:eastAsia="zh-CN"/>
        </w:rPr>
        <w:t>40111</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），打包压缩（文件夹命名规则：项目序号及名称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供应商名称）发至邮箱（</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 xml:space="preserve">），并与设备科工作人员电话（何老师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10"/>
          <w:sz w:val="28"/>
          <w:szCs w:val="28"/>
        </w:rPr>
      </w:pPr>
      <w:r>
        <w:rPr>
          <w:sz w:val="28"/>
          <w:szCs w:val="28"/>
        </w:rPr>
        <w:t>四、</w:t>
      </w:r>
      <w:r>
        <w:rPr>
          <w:rStyle w:val="10"/>
          <w:rFonts w:hint="eastAsia"/>
          <w:sz w:val="28"/>
          <w:szCs w:val="28"/>
        </w:rPr>
        <w:t>项目内容：</w:t>
      </w:r>
    </w:p>
    <w:tbl>
      <w:tblPr>
        <w:tblStyle w:val="7"/>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877"/>
        <w:gridCol w:w="980"/>
        <w:gridCol w:w="4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超低温冰箱（约700L）</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1、箱内温度 -40℃ ~-86℃可调；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2、冰箱内有效容积约700L，配整机冻存架；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3、外部尺寸（宽x深x高）≈1049×980×1980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4、内部尺寸（宽x深x高）≈766×716×1310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超低温冰箱（约400L)</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1、箱内温度 -40℃ ~-86℃可调；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2、冰箱内有效容积约400L，配整机冻存架；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3、外部尺寸（宽x深x高）≈830×980×1980mm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4、内部尺寸（宽x深x高）≈465×716×1310mm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冷藏冰箱</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1、冰箱内有效容积约410L；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2、标配6个搁架；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3、分4°及-20°空间。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小型台式高速冷冻离心机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1、最大相对离心速度20.238 x 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2、最高转速14.680 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3、加速时间15 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4、减速时间16 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5、温度-10 °C 至 +40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小型台式高速冷冻离心机（2ml定角转）</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1.转速要求不低于15000 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2.温控要求：-10℃至40℃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3.噪音要求：不高于60dBA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4.具有快速预冷功能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5.加减速时间要求不超过15秒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6.单套配件要求：主机1台，24*1.5/2.0ml固定角转子1个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冷冻离心机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1.主机可选择最大容量要求：水平转子不少于4×750ml；固定角转不少于56×15ml离心管；固定角转不少于28×50ml离心管；水平转子不少于16×微孔板；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2.适配水平转子转速要求不低于4000 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2.温控范围：-9℃至40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3.具有快速预冷功能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4.开盖高度要求不高于80cm，方便使用人员操作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5.单套配置要求：主机1台，水平转子1个，提篮4个，15ml锥形管适配器4个，50ml锥形管适配器4个，酶标板提篮4个，2.6-7ml流式管提篮4个，3-15ml采血管提篮4个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台式高速冷冻离心机（定角转）</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1.主机可选择最大容量要求：水平转子不少于4×750ml；固定角转不少于56×15ml离心管；固定角转不少于28×50ml离心管；水平转子不少于16×微孔板；</w:t>
            </w:r>
            <w:r>
              <w:rPr>
                <w:rStyle w:val="15"/>
                <w:lang w:val="en-US" w:eastAsia="zh-CN" w:bidi="ar"/>
              </w:rPr>
              <w:br w:type="textWrapping"/>
            </w:r>
            <w:r>
              <w:rPr>
                <w:rStyle w:val="15"/>
                <w:lang w:val="en-US" w:eastAsia="zh-CN" w:bidi="ar"/>
              </w:rPr>
              <w:t>2.适配15ml和50ml固定角转转速要求不低于 12000 rpm</w:t>
            </w:r>
            <w:r>
              <w:rPr>
                <w:rStyle w:val="15"/>
                <w:lang w:val="en-US" w:eastAsia="zh-CN" w:bidi="ar"/>
              </w:rPr>
              <w:br w:type="textWrapping"/>
            </w:r>
            <w:r>
              <w:rPr>
                <w:rStyle w:val="15"/>
                <w:lang w:val="en-US" w:eastAsia="zh-CN" w:bidi="ar"/>
              </w:rPr>
              <w:t>2.温控范围：-9℃至40 ℃</w:t>
            </w:r>
            <w:r>
              <w:rPr>
                <w:rStyle w:val="15"/>
                <w:lang w:val="en-US" w:eastAsia="zh-CN" w:bidi="ar"/>
              </w:rPr>
              <w:br w:type="textWrapping"/>
            </w:r>
            <w:r>
              <w:rPr>
                <w:rStyle w:val="15"/>
                <w:lang w:val="en-US" w:eastAsia="zh-CN" w:bidi="ar"/>
              </w:rPr>
              <w:t>3.具有快速预冷功能</w:t>
            </w:r>
            <w:r>
              <w:rPr>
                <w:rStyle w:val="15"/>
                <w:lang w:val="en-US" w:eastAsia="zh-CN" w:bidi="ar"/>
              </w:rPr>
              <w:br w:type="textWrapping"/>
            </w:r>
            <w:r>
              <w:rPr>
                <w:rStyle w:val="15"/>
                <w:lang w:val="en-US" w:eastAsia="zh-CN" w:bidi="ar"/>
              </w:rPr>
              <w:t>4.开盖高度要求不高于80cm，方便使用人员操作</w:t>
            </w:r>
            <w:r>
              <w:rPr>
                <w:rStyle w:val="15"/>
                <w:lang w:val="en-US" w:eastAsia="zh-CN" w:bidi="ar"/>
              </w:rPr>
              <w:br w:type="textWrapping"/>
            </w:r>
            <w:r>
              <w:rPr>
                <w:rStyle w:val="15"/>
                <w:lang w:val="en-US" w:eastAsia="zh-CN" w:bidi="ar"/>
              </w:rPr>
              <w:t>5.单套配置要求：主机1台，6*85ml固定角转1个，15ml锥形管适配器6个，50ml锥形管适配器6个.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低速离心机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1.主机容量要求：不低于4*100ml水平转子</w:t>
            </w:r>
            <w:r>
              <w:rPr>
                <w:rStyle w:val="15"/>
                <w:lang w:val="en-US" w:eastAsia="zh-CN" w:bidi="ar"/>
              </w:rPr>
              <w:br w:type="textWrapping"/>
            </w:r>
            <w:r>
              <w:rPr>
                <w:rStyle w:val="15"/>
                <w:lang w:val="en-US" w:eastAsia="zh-CN" w:bidi="ar"/>
              </w:rPr>
              <w:t>2.转速要求：不低于4400 rpm</w:t>
            </w:r>
            <w:r>
              <w:rPr>
                <w:rStyle w:val="15"/>
                <w:lang w:val="en-US" w:eastAsia="zh-CN" w:bidi="ar"/>
              </w:rPr>
              <w:br w:type="textWrapping"/>
            </w:r>
            <w:r>
              <w:rPr>
                <w:rStyle w:val="15"/>
                <w:lang w:val="en-US" w:eastAsia="zh-CN" w:bidi="ar"/>
              </w:rPr>
              <w:t>3.定时要求：0-99分钟，可连续离心</w:t>
            </w:r>
            <w:r>
              <w:rPr>
                <w:rStyle w:val="15"/>
                <w:lang w:val="en-US" w:eastAsia="zh-CN" w:bidi="ar"/>
              </w:rPr>
              <w:br w:type="textWrapping"/>
            </w:r>
            <w:r>
              <w:rPr>
                <w:rStyle w:val="15"/>
                <w:lang w:val="en-US" w:eastAsia="zh-CN" w:bidi="ar"/>
              </w:rPr>
              <w:t>单套配置要求：主机1台，水平转子1个，4*100ml提篮4个，15ml适配器4个，50ml适配器4个。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冷冻离心机（水平转）</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1.主机容量要求：不低于4*100ml水平转子</w:t>
            </w:r>
            <w:r>
              <w:rPr>
                <w:rStyle w:val="15"/>
                <w:lang w:val="en-US" w:eastAsia="zh-CN" w:bidi="ar"/>
              </w:rPr>
              <w:br w:type="textWrapping"/>
            </w:r>
            <w:r>
              <w:rPr>
                <w:rStyle w:val="15"/>
                <w:lang w:val="en-US" w:eastAsia="zh-CN" w:bidi="ar"/>
              </w:rPr>
              <w:t>2.转速要求：不低于4400 rpm</w:t>
            </w:r>
            <w:r>
              <w:rPr>
                <w:rStyle w:val="15"/>
                <w:lang w:val="en-US" w:eastAsia="zh-CN" w:bidi="ar"/>
              </w:rPr>
              <w:br w:type="textWrapping"/>
            </w:r>
            <w:r>
              <w:rPr>
                <w:rStyle w:val="15"/>
                <w:lang w:val="en-US" w:eastAsia="zh-CN" w:bidi="ar"/>
              </w:rPr>
              <w:t>3.定时要求：0-99分钟，可连续离心</w:t>
            </w:r>
            <w:r>
              <w:rPr>
                <w:rStyle w:val="15"/>
                <w:lang w:val="en-US" w:eastAsia="zh-CN" w:bidi="ar"/>
              </w:rPr>
              <w:br w:type="textWrapping"/>
            </w:r>
            <w:r>
              <w:rPr>
                <w:rStyle w:val="15"/>
                <w:lang w:val="en-US" w:eastAsia="zh-CN" w:bidi="ar"/>
              </w:rPr>
              <w:t>4.温控要求：-9℃至40℃</w:t>
            </w:r>
            <w:r>
              <w:rPr>
                <w:rStyle w:val="15"/>
                <w:lang w:val="en-US" w:eastAsia="zh-CN" w:bidi="ar"/>
              </w:rPr>
              <w:br w:type="textWrapping"/>
            </w:r>
            <w:r>
              <w:rPr>
                <w:rStyle w:val="15"/>
                <w:lang w:val="en-US" w:eastAsia="zh-CN" w:bidi="ar"/>
              </w:rPr>
              <w:t>5.单套配置要求：主机1台，水平转子1个，4*100ml提篮4个，15ml适配器4个，50ml适配器4个。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二层小容量叠加式摇床</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1、振荡频率：30-350rpm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2、振荡频率精度：±1rpm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3、摇板振幅：Ф26mm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4、温控范围：4~60°C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5、温度均匀度：±1°C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6、显示方式：液晶屏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7、控制方式：PLC微电脑智能控制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8、最大容量：单层250ml×24或500ml×15或1000ml×12或2000ml×6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9、定时范围：0-999.9小时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10、标准配置：万能夹具、固定夹具、粘板或试管夹具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11、电源：AC220±10%50~60Hz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DNA切割超声波破碎仪</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适于ChIP、ChIP-seq、RNA-seq以及染色质剪切和DNA剪切（用于二代测序）。同时也可作为普通的超声波破碎仪，用于常规细胞破碎、蛋白提取等实验，满足科研人员使用需求。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单道移液器100-1000ul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1.手动单道，不易损坏；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2.采用磁力辅助设计，阻力小，长时间操作不易因疲惫导致操作失误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单道移液器20-200ul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单道移液器2-20ul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单道移液器10-100ul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单道移液器0.5-10ul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单道移液器0.1-2.5ul</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掌上离心机</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1、双门锁设计；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2、最大容量： 2×8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3、最大转速： 7000rpm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4、最大离心力：2680×g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5、尺寸： 150×150×117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真空吸液器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1、真空度调节范围 0-600 mbar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2、抽气速率  15 L/min (air)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3、吸液速率 17 mL/s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4、尺寸 [ 长×宽×高 ]mm 180 × 240 × 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小型漩涡混匀仪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1、转速： 0-2500rpm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2、工作方式：点动/连续运转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3、振动方式：圆周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磁力搅拌器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1、配置直流无刷电机，防爆，免维护；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2、数字控温，最高温度可达340℃；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3、最大转速可达1500rpm；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4、最大搅拌量（H2O）可达20L；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5、高清晰LCD显示屏同时显示实际温度和转速；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6、可外接温度传感器PT1000，精确控制样品温度，控温精度达±0.2℃；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水平转脱色摇床</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提供温和高效的振荡，满足如培养皿、烧瓶、三角瓶等混匀的应用需求。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1分~19小时59分 振荡频率：40~200rpm 振荡幅度：20mm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万分之一分析天平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防静涂层玻璃防风罩能有效地屏蔽外界静电荷的干扰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四级防震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自动校准系统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-CW型号标配内置校准砝码，全自动校准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五面玻璃防风罩，视野清晰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最小称量0.1（mg）最大称量220（g）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转移摇床</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全新结构的脱色、转移、万向摇床系列。流线型机体，采用增强型工程塑料成型技术，配备无刷直流电机启动，尼龙1010轴芯</w:t>
            </w:r>
            <w:r>
              <w:rPr>
                <w:rStyle w:val="15"/>
                <w:lang w:val="en-US" w:eastAsia="zh-CN" w:bidi="ar"/>
              </w:rPr>
              <w:br w:type="textWrapping"/>
            </w:r>
            <w:r>
              <w:rPr>
                <w:rStyle w:val="15"/>
                <w:lang w:val="en-US" w:eastAsia="zh-CN" w:bidi="ar"/>
              </w:rPr>
              <w:t xml:space="preserve">电源：220V 功率：30W 频率：0～80转/分 托盘：280×260mm×2 摆幅：上下20mm 外观尺寸：350×260×260mm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bookmarkStart w:id="0" w:name="_GoBack"/>
            <w:bookmarkEnd w:id="0"/>
            <w:r>
              <w:rPr>
                <w:rFonts w:hint="eastAsia" w:ascii="宋体" w:hAnsi="宋体" w:eastAsia="宋体" w:cs="宋体"/>
                <w:i w:val="0"/>
                <w:iCs w:val="0"/>
                <w:color w:val="000000"/>
                <w:kern w:val="0"/>
                <w:sz w:val="22"/>
                <w:szCs w:val="22"/>
                <w:u w:val="none"/>
                <w:lang w:val="en-US" w:eastAsia="zh-CN" w:bidi="ar"/>
              </w:rPr>
              <w:t>台</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可通过RS232或USB接口将数据直接输出至打印机，或导出至计算机以便进一步处理。</w:t>
            </w:r>
            <w:r>
              <w:rPr>
                <w:rStyle w:val="15"/>
                <w:lang w:val="en-US" w:eastAsia="zh-CN" w:bidi="ar"/>
              </w:rPr>
              <w:br w:type="textWrapping"/>
            </w:r>
            <w:r>
              <w:rPr>
                <w:rStyle w:val="15"/>
                <w:lang w:val="en-US" w:eastAsia="zh-CN" w:bidi="ar"/>
              </w:rPr>
              <w:t>单通道 电极LE438 pH测量范围-2 – 16 pH分辨率 0.01-0.1 pH准确度(±)0.01</w:t>
            </w:r>
          </w:p>
        </w:tc>
      </w:tr>
    </w:tbl>
    <w:p>
      <w:pPr>
        <w:rPr>
          <w:b/>
        </w:rPr>
      </w:pPr>
    </w:p>
    <w:p>
      <w:pPr>
        <w:rPr>
          <w:b/>
        </w:rPr>
      </w:pPr>
      <w:r>
        <w:rPr>
          <w:rFonts w:hint="eastAsia"/>
          <w:b/>
        </w:rPr>
        <w:t>声明：本公告所述的功能及参数无任何针对性、倾向性和排他性，因市场了解的局限性，可能存在某些不足，仅作为我院</w:t>
      </w:r>
      <w:r>
        <w:rPr>
          <w:rFonts w:hint="eastAsia"/>
          <w:b/>
          <w:lang w:val="en-US" w:eastAsia="zh-CN"/>
        </w:rPr>
        <w:t>科研仪器</w:t>
      </w:r>
      <w:r>
        <w:rPr>
          <w:rFonts w:hint="eastAsia"/>
          <w:b/>
        </w:rPr>
        <w:t>设备市场调研参考所用。</w:t>
      </w:r>
    </w:p>
    <w:p>
      <w:pPr>
        <w:rPr>
          <w:rStyle w:val="10"/>
          <w:sz w:val="28"/>
          <w:szCs w:val="28"/>
        </w:rPr>
      </w:pPr>
      <w:r>
        <w:rPr>
          <w:rFonts w:cs="Times New Roman" w:asciiTheme="minorEastAsia" w:hAnsiTheme="minorEastAsia"/>
          <w:sz w:val="28"/>
          <w:szCs w:val="28"/>
          <w:shd w:val="clear" w:color="auto" w:fill="FFFFFF"/>
        </w:rPr>
        <w:t>五、</w:t>
      </w:r>
      <w:r>
        <w:rPr>
          <w:rStyle w:val="10"/>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10"/>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注：报名材料需设置封面页及目录页，封面页内容包括项目编号、项目名称、代理商公司名称、项目联系人姓名及手机号码、生产厂家、设备产地、设备型号等（格式见附件1）。</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4</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销售记录（对应产品型号，需提供证明，如发票、合同、中标通知书），近三年全国知名院校、口腔医院或三甲公立医院的记录资料为佳；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Fonts w:hint="eastAsia" w:cs="Times New Roman" w:asciiTheme="minorEastAsia" w:hAnsiTheme="minorEastAsia"/>
          <w:sz w:val="28"/>
          <w:szCs w:val="28"/>
          <w:shd w:val="clear" w:color="auto" w:fill="FFFFFF"/>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3Zjk4MDlkMTc0YmQxMzhkNDJlYTRkYzg1OWIwNDQifQ=="/>
  </w:docVars>
  <w:rsids>
    <w:rsidRoot w:val="00E45983"/>
    <w:rsid w:val="00033E4B"/>
    <w:rsid w:val="000567D6"/>
    <w:rsid w:val="000C7BEE"/>
    <w:rsid w:val="000D2D6B"/>
    <w:rsid w:val="000D384C"/>
    <w:rsid w:val="000D3BD8"/>
    <w:rsid w:val="000E3DAB"/>
    <w:rsid w:val="000F3882"/>
    <w:rsid w:val="00153817"/>
    <w:rsid w:val="001A569A"/>
    <w:rsid w:val="001B4ABE"/>
    <w:rsid w:val="001C4DFD"/>
    <w:rsid w:val="001E1758"/>
    <w:rsid w:val="001E7162"/>
    <w:rsid w:val="00201F33"/>
    <w:rsid w:val="00256D50"/>
    <w:rsid w:val="0026166E"/>
    <w:rsid w:val="0028656E"/>
    <w:rsid w:val="00292D8F"/>
    <w:rsid w:val="002A7250"/>
    <w:rsid w:val="002C7B8C"/>
    <w:rsid w:val="002D2E01"/>
    <w:rsid w:val="002E3781"/>
    <w:rsid w:val="003776FD"/>
    <w:rsid w:val="00390ED0"/>
    <w:rsid w:val="0039315C"/>
    <w:rsid w:val="00420176"/>
    <w:rsid w:val="004A085A"/>
    <w:rsid w:val="004C3F28"/>
    <w:rsid w:val="004D3585"/>
    <w:rsid w:val="004F24C4"/>
    <w:rsid w:val="005024FB"/>
    <w:rsid w:val="00560399"/>
    <w:rsid w:val="005A0737"/>
    <w:rsid w:val="005B7D31"/>
    <w:rsid w:val="005C1F29"/>
    <w:rsid w:val="006124A1"/>
    <w:rsid w:val="00651DF2"/>
    <w:rsid w:val="00661A8A"/>
    <w:rsid w:val="006C4CD2"/>
    <w:rsid w:val="00706F40"/>
    <w:rsid w:val="00751ED2"/>
    <w:rsid w:val="00760ACC"/>
    <w:rsid w:val="00793081"/>
    <w:rsid w:val="007D0FA4"/>
    <w:rsid w:val="007F1515"/>
    <w:rsid w:val="008008CE"/>
    <w:rsid w:val="00863620"/>
    <w:rsid w:val="00877D22"/>
    <w:rsid w:val="008D4A32"/>
    <w:rsid w:val="008E4946"/>
    <w:rsid w:val="008F6107"/>
    <w:rsid w:val="00910234"/>
    <w:rsid w:val="0094734D"/>
    <w:rsid w:val="00976848"/>
    <w:rsid w:val="009B3EC3"/>
    <w:rsid w:val="009E50A5"/>
    <w:rsid w:val="00A14C4B"/>
    <w:rsid w:val="00A47287"/>
    <w:rsid w:val="00A53A2A"/>
    <w:rsid w:val="00A6789F"/>
    <w:rsid w:val="00A70EC0"/>
    <w:rsid w:val="00AC3199"/>
    <w:rsid w:val="00B322E3"/>
    <w:rsid w:val="00B747A9"/>
    <w:rsid w:val="00C11162"/>
    <w:rsid w:val="00C37DFB"/>
    <w:rsid w:val="00C56A65"/>
    <w:rsid w:val="00C62E5A"/>
    <w:rsid w:val="00CA6CC7"/>
    <w:rsid w:val="00CB752B"/>
    <w:rsid w:val="00CD2DED"/>
    <w:rsid w:val="00D011C8"/>
    <w:rsid w:val="00D03324"/>
    <w:rsid w:val="00D05DF8"/>
    <w:rsid w:val="00D34D0A"/>
    <w:rsid w:val="00D37B7C"/>
    <w:rsid w:val="00D57C0B"/>
    <w:rsid w:val="00E23200"/>
    <w:rsid w:val="00E27FF3"/>
    <w:rsid w:val="00E45983"/>
    <w:rsid w:val="00E521BC"/>
    <w:rsid w:val="00E54D51"/>
    <w:rsid w:val="00E61613"/>
    <w:rsid w:val="00E62301"/>
    <w:rsid w:val="00E90984"/>
    <w:rsid w:val="00EA0E7E"/>
    <w:rsid w:val="00F93263"/>
    <w:rsid w:val="00FB5002"/>
    <w:rsid w:val="00FD5335"/>
    <w:rsid w:val="00FD7DAF"/>
    <w:rsid w:val="096969CD"/>
    <w:rsid w:val="297D16EE"/>
    <w:rsid w:val="2A90530A"/>
    <w:rsid w:val="3BF83CDF"/>
    <w:rsid w:val="56A87886"/>
    <w:rsid w:val="58EF2A70"/>
    <w:rsid w:val="69AE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autoRedefine/>
    <w:semiHidden/>
    <w:uiPriority w:val="99"/>
    <w:rPr>
      <w:sz w:val="18"/>
      <w:szCs w:val="18"/>
    </w:rPr>
  </w:style>
  <w:style w:type="character" w:customStyle="1" w:styleId="13">
    <w:name w:val="标题 1 Char"/>
    <w:basedOn w:val="9"/>
    <w:link w:val="2"/>
    <w:autoRedefine/>
    <w:qFormat/>
    <w:uiPriority w:val="9"/>
    <w:rPr>
      <w:b/>
      <w:bCs/>
      <w:kern w:val="44"/>
      <w:sz w:val="44"/>
      <w:szCs w:val="44"/>
    </w:rPr>
  </w:style>
  <w:style w:type="character" w:customStyle="1" w:styleId="14">
    <w:name w:val="批注框文本 Char"/>
    <w:basedOn w:val="9"/>
    <w:link w:val="3"/>
    <w:semiHidden/>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323</Words>
  <Characters>1844</Characters>
  <Lines>15</Lines>
  <Paragraphs>4</Paragraphs>
  <TotalTime>1</TotalTime>
  <ScaleCrop>false</ScaleCrop>
  <LinksUpToDate>false</LinksUpToDate>
  <CharactersWithSpaces>2163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H</cp:lastModifiedBy>
  <dcterms:modified xsi:type="dcterms:W3CDTF">2024-01-15T08:08:51Z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9392D1252EFC4122937B003B6F79BE45_12</vt:lpwstr>
  </property>
</Properties>
</file>