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119" w:leftChars="533" w:firstLine="0" w:firstLineChars="0"/>
        <w:jc w:val="center"/>
        <w:rPr>
          <w:rFonts w:ascii="宋体" w:hAnsi="宋体" w:cs="宋体"/>
          <w:b/>
          <w:kern w:val="0"/>
          <w:sz w:val="28"/>
          <w:szCs w:val="28"/>
        </w:rPr>
      </w:pPr>
      <w:r>
        <w:rPr>
          <w:rFonts w:hint="eastAsia" w:ascii="宋体" w:hAnsi="宋体" w:cs="宋体"/>
          <w:b/>
          <w:kern w:val="0"/>
          <w:sz w:val="28"/>
          <w:szCs w:val="28"/>
        </w:rPr>
        <w:t>南方医科大学口腔医院（广东省口腔医院）盘福院区7-9层实验室、海珠广场院区牙体牙髓二室采购一批柜子</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办公桌卡位等</w:t>
      </w:r>
      <w:r>
        <w:rPr>
          <w:rFonts w:hint="eastAsia" w:ascii="宋体" w:hAnsi="宋体" w:cs="宋体"/>
          <w:b/>
          <w:kern w:val="0"/>
          <w:sz w:val="28"/>
          <w:szCs w:val="28"/>
        </w:rPr>
        <w:t>项目市场调研邀请函</w:t>
      </w:r>
    </w:p>
    <w:p>
      <w:pPr>
        <w:rPr>
          <w:rFonts w:ascii="仿宋" w:hAnsi="仿宋" w:eastAsia="仿宋"/>
          <w:kern w:val="0"/>
          <w:sz w:val="24"/>
        </w:rPr>
      </w:pPr>
      <w:r>
        <w:rPr>
          <w:rFonts w:hint="eastAsia" w:ascii="仿宋" w:hAnsi="仿宋" w:eastAsia="仿宋"/>
          <w:kern w:val="0"/>
          <w:sz w:val="24"/>
        </w:rPr>
        <w:t>一、概况</w:t>
      </w:r>
    </w:p>
    <w:p>
      <w:pPr>
        <w:spacing w:line="360" w:lineRule="auto"/>
        <w:ind w:firstLine="480" w:firstLineChars="200"/>
        <w:rPr>
          <w:rFonts w:ascii="仿宋" w:hAnsi="仿宋" w:eastAsia="仿宋"/>
          <w:sz w:val="24"/>
        </w:rPr>
      </w:pPr>
      <w:r>
        <w:rPr>
          <w:rFonts w:hint="eastAsia" w:ascii="仿宋" w:hAnsi="仿宋" w:eastAsia="仿宋"/>
          <w:sz w:val="24"/>
        </w:rPr>
        <w:t>南方医科大学口腔医院（广东省口腔医院）（下称采购人）</w:t>
      </w:r>
      <w:r>
        <w:rPr>
          <w:rFonts w:hint="eastAsia" w:ascii="仿宋" w:hAnsi="仿宋" w:eastAsia="仿宋" w:cs="仿宋"/>
          <w:b w:val="0"/>
          <w:bCs/>
          <w:kern w:val="0"/>
          <w:sz w:val="24"/>
          <w:szCs w:val="24"/>
        </w:rPr>
        <w:t>盘福院区7-9层实验室、海珠广场院区牙体牙髓二室采购一批柜子</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lang w:val="en-US" w:eastAsia="zh-CN"/>
        </w:rPr>
        <w:t>办公桌卡位等</w:t>
      </w:r>
      <w:r>
        <w:rPr>
          <w:rFonts w:hint="eastAsia" w:ascii="仿宋" w:hAnsi="仿宋" w:eastAsia="仿宋" w:cs="仿宋"/>
          <w:b w:val="0"/>
          <w:bCs/>
          <w:kern w:val="0"/>
          <w:sz w:val="24"/>
          <w:szCs w:val="24"/>
        </w:rPr>
        <w:t>项目</w:t>
      </w:r>
      <w:r>
        <w:rPr>
          <w:rFonts w:hint="eastAsia" w:ascii="仿宋" w:hAnsi="仿宋" w:eastAsia="仿宋" w:cs="宋体"/>
          <w:sz w:val="24"/>
        </w:rPr>
        <w:t>。</w:t>
      </w:r>
      <w:r>
        <w:rPr>
          <w:rFonts w:hint="eastAsia" w:ascii="仿宋" w:hAnsi="仿宋" w:eastAsia="仿宋"/>
          <w:sz w:val="24"/>
        </w:rPr>
        <w:t>为了能更好地制定采购方案和做好预算编制。现对采购项目进行市场调研，欢迎符合资格条件的单位来参加市场调研。</w:t>
      </w:r>
    </w:p>
    <w:p>
      <w:pPr>
        <w:spacing w:line="360" w:lineRule="auto"/>
        <w:rPr>
          <w:rFonts w:ascii="仿宋" w:hAnsi="仿宋" w:eastAsia="仿宋"/>
          <w:sz w:val="24"/>
        </w:rPr>
      </w:pPr>
      <w:r>
        <w:rPr>
          <w:rFonts w:hint="eastAsia" w:ascii="仿宋" w:hAnsi="仿宋" w:eastAsia="仿宋"/>
          <w:sz w:val="24"/>
        </w:rPr>
        <w:t>二、调研单位：南方医科大学口腔医院（广东省口腔医院）</w:t>
      </w:r>
    </w:p>
    <w:p>
      <w:pPr>
        <w:spacing w:line="360" w:lineRule="auto"/>
        <w:ind w:left="1920" w:hanging="1920" w:hangingChars="800"/>
        <w:rPr>
          <w:rFonts w:hint="eastAsia" w:ascii="仿宋" w:hAnsi="仿宋" w:eastAsia="仿宋" w:cs="仿宋"/>
          <w:b w:val="0"/>
          <w:bCs/>
          <w:sz w:val="24"/>
          <w:szCs w:val="24"/>
        </w:rPr>
      </w:pPr>
      <w:r>
        <w:rPr>
          <w:rFonts w:hint="eastAsia" w:ascii="仿宋" w:hAnsi="仿宋" w:eastAsia="仿宋"/>
          <w:sz w:val="24"/>
        </w:rPr>
        <w:t>三、项目名称：</w:t>
      </w:r>
      <w:r>
        <w:rPr>
          <w:rFonts w:hint="eastAsia" w:ascii="仿宋" w:hAnsi="仿宋" w:eastAsia="仿宋" w:cs="仿宋"/>
          <w:b w:val="0"/>
          <w:bCs/>
          <w:kern w:val="0"/>
          <w:sz w:val="24"/>
          <w:szCs w:val="24"/>
        </w:rPr>
        <w:t>盘福院区7-9层实验室、海珠广场院区牙体牙髓二室采购一批柜子</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lang w:val="en-US" w:eastAsia="zh-CN"/>
        </w:rPr>
        <w:t>办公桌卡位等</w:t>
      </w:r>
      <w:r>
        <w:rPr>
          <w:rFonts w:hint="eastAsia" w:ascii="仿宋" w:hAnsi="仿宋" w:eastAsia="仿宋" w:cs="仿宋"/>
          <w:b w:val="0"/>
          <w:bCs/>
          <w:kern w:val="0"/>
          <w:sz w:val="24"/>
          <w:szCs w:val="24"/>
        </w:rPr>
        <w:t>项目</w:t>
      </w:r>
    </w:p>
    <w:p>
      <w:pPr>
        <w:spacing w:line="360" w:lineRule="auto"/>
        <w:rPr>
          <w:rFonts w:hint="default" w:ascii="仿宋" w:hAnsi="仿宋" w:eastAsia="仿宋"/>
          <w:sz w:val="24"/>
          <w:lang w:val="en-US" w:eastAsia="zh-CN"/>
        </w:rPr>
      </w:pPr>
      <w:r>
        <w:rPr>
          <w:rFonts w:hint="eastAsia" w:ascii="仿宋" w:hAnsi="仿宋" w:eastAsia="仿宋"/>
          <w:sz w:val="24"/>
        </w:rPr>
        <w:t>四、项目地点：广州市越秀区盘福路13-35号</w:t>
      </w:r>
      <w:r>
        <w:rPr>
          <w:rFonts w:hint="eastAsia" w:ascii="仿宋" w:hAnsi="仿宋" w:eastAsia="仿宋"/>
          <w:sz w:val="24"/>
          <w:lang w:eastAsia="zh-CN"/>
        </w:rPr>
        <w:t>、</w:t>
      </w:r>
      <w:r>
        <w:rPr>
          <w:rFonts w:hint="eastAsia" w:ascii="仿宋" w:hAnsi="仿宋" w:eastAsia="仿宋"/>
          <w:sz w:val="24"/>
          <w:lang w:val="en-US" w:eastAsia="zh-CN"/>
        </w:rPr>
        <w:t>泰康路178-180号</w:t>
      </w:r>
    </w:p>
    <w:p>
      <w:pPr>
        <w:spacing w:line="360" w:lineRule="auto"/>
        <w:rPr>
          <w:rFonts w:ascii="仿宋" w:hAnsi="仿宋" w:eastAsia="仿宋"/>
          <w:sz w:val="24"/>
        </w:rPr>
      </w:pPr>
      <w:r>
        <w:rPr>
          <w:rFonts w:hint="eastAsia" w:ascii="仿宋" w:hAnsi="仿宋" w:eastAsia="仿宋"/>
          <w:sz w:val="24"/>
        </w:rPr>
        <w:t>五、项目资金：自筹非财政性资金</w:t>
      </w:r>
    </w:p>
    <w:p>
      <w:pPr>
        <w:spacing w:line="360" w:lineRule="auto"/>
        <w:rPr>
          <w:rFonts w:hint="eastAsia" w:ascii="仿宋" w:hAnsi="仿宋" w:eastAsia="仿宋"/>
          <w:sz w:val="24"/>
        </w:rPr>
      </w:pPr>
      <w:r>
        <w:rPr>
          <w:rFonts w:hint="eastAsia" w:ascii="仿宋" w:hAnsi="仿宋" w:eastAsia="仿宋"/>
          <w:sz w:val="24"/>
        </w:rPr>
        <w:t>六、调研内容</w:t>
      </w:r>
    </w:p>
    <w:p>
      <w:pPr>
        <w:spacing w:line="360" w:lineRule="auto"/>
        <w:rPr>
          <w:rFonts w:hint="default" w:ascii="仿宋" w:hAnsi="仿宋" w:eastAsia="仿宋"/>
          <w:b/>
          <w:bCs/>
          <w:sz w:val="24"/>
          <w:lang w:val="en-US" w:eastAsia="zh-CN"/>
        </w:rPr>
      </w:pPr>
      <w:r>
        <w:rPr>
          <w:rFonts w:hint="eastAsia" w:ascii="仿宋" w:hAnsi="仿宋" w:eastAsia="仿宋"/>
          <w:b/>
          <w:bCs/>
          <w:sz w:val="24"/>
          <w:lang w:val="en-US" w:eastAsia="zh-CN"/>
        </w:rPr>
        <w:t>包一：</w:t>
      </w:r>
    </w:p>
    <w:tbl>
      <w:tblPr>
        <w:tblW w:w="10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7"/>
        <w:gridCol w:w="821"/>
        <w:gridCol w:w="723"/>
        <w:gridCol w:w="2136"/>
        <w:gridCol w:w="863"/>
        <w:gridCol w:w="698"/>
        <w:gridCol w:w="698"/>
        <w:gridCol w:w="3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079"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盘福院区7-9楼实验室定制类实验台、办公家具规格清单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974" w:type="dxa"/>
            <w:tcBorders>
              <w:top w:val="single" w:color="000000" w:sz="4" w:space="0"/>
              <w:left w:val="single" w:color="000000" w:sz="4" w:space="0"/>
              <w:bottom w:val="single" w:color="000000" w:sz="4" w:space="0"/>
              <w:right w:val="single" w:color="000000" w:sz="4" w:space="0"/>
            </w:tcBorders>
            <w:shd w:val="clear" w:color="auto" w:fill="37F22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安装位置</w:t>
            </w:r>
          </w:p>
        </w:tc>
        <w:tc>
          <w:tcPr>
            <w:tcW w:w="888" w:type="dxa"/>
            <w:tcBorders>
              <w:top w:val="single" w:color="000000" w:sz="4" w:space="0"/>
              <w:left w:val="single" w:color="000000" w:sz="4" w:space="0"/>
              <w:bottom w:val="single" w:color="000000" w:sz="4" w:space="0"/>
              <w:right w:val="single" w:color="000000" w:sz="4" w:space="0"/>
            </w:tcBorders>
            <w:shd w:val="clear" w:color="auto" w:fill="37F22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货品名称</w:t>
            </w:r>
          </w:p>
        </w:tc>
        <w:tc>
          <w:tcPr>
            <w:tcW w:w="1015" w:type="dxa"/>
            <w:tcBorders>
              <w:top w:val="single" w:color="000000" w:sz="4" w:space="0"/>
              <w:left w:val="single" w:color="000000" w:sz="4" w:space="0"/>
              <w:bottom w:val="single" w:color="000000" w:sz="4" w:space="0"/>
              <w:right w:val="single" w:color="000000" w:sz="4" w:space="0"/>
            </w:tcBorders>
            <w:shd w:val="clear" w:color="auto" w:fill="37F22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 号、规 格(mm)</w:t>
            </w:r>
          </w:p>
        </w:tc>
        <w:tc>
          <w:tcPr>
            <w:tcW w:w="0" w:type="auto"/>
            <w:tcBorders>
              <w:top w:val="single" w:color="000000" w:sz="4" w:space="0"/>
              <w:left w:val="single" w:color="000000" w:sz="4" w:space="0"/>
              <w:bottom w:val="single" w:color="000000" w:sz="4" w:space="0"/>
              <w:right w:val="single" w:color="000000" w:sz="4" w:space="0"/>
            </w:tcBorders>
            <w:shd w:val="clear" w:color="auto" w:fill="37F22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颜 色</w:t>
            </w:r>
          </w:p>
        </w:tc>
        <w:tc>
          <w:tcPr>
            <w:tcW w:w="0" w:type="auto"/>
            <w:tcBorders>
              <w:top w:val="single" w:color="000000" w:sz="4" w:space="0"/>
              <w:left w:val="single" w:color="000000" w:sz="4" w:space="0"/>
              <w:bottom w:val="single" w:color="000000" w:sz="4" w:space="0"/>
              <w:right w:val="single" w:color="000000" w:sz="4" w:space="0"/>
            </w:tcBorders>
            <w:shd w:val="clear" w:color="auto" w:fill="37F22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37F22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37F22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生产工艺及说明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楼洁物贮存</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1000W*600D*850H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纤板作密封加强处理；38*38*1.0mm方管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框架，带M10可调脚；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2、框架表面满焊打磨拉边处理，工作台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带2个抽屉，配三节缓冲导轨，铝合金暗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拉手；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3、1个实验室专用纯水龙头（报价不含</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水龙头）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图纸：背面飘边80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9楼操作间</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800W*400D*850H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1、台面采用304#国标1.0mm，嵌25mm中纤板作密封加强处理；38*38*1.0mm方管框架，带M10可调脚；                                                                                                                                    2、框架表面满焊打磨拉边处理，工作台带2个抽屉，配三节缓冲导轨，铝合金暗拉手；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4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楼操作室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1500W*600D*850H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1、台面采用304#国标1.0mm，嵌25mm中纤板作密封加强处理；38*38*1.0mm方管框架，带M10可调脚；                                                                                                                                    2、框架表面满焊打磨拉边处理，工作台带3个抽屉，配三节缓冲导轨，铝合金暗拉手；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楼缓冲走廊</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鞋凳</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1200W*300D*450H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1、304#国标1.0mm，单面双层；                                                                        2、柜面嵌25mm高密度中纤板作密封加强处理，无小分格；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0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楼一更</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更衣柜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930W*400D*2100H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灰白色</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14"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楼二更</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更衣柜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1300W*400D*2100H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灰白色</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48" name="Picture_2"/>
                  <wp:cNvGraphicFramePr/>
                  <a:graphic xmlns:a="http://schemas.openxmlformats.org/drawingml/2006/main">
                    <a:graphicData uri="http://schemas.openxmlformats.org/drawingml/2006/picture">
                      <pic:pic xmlns:pic="http://schemas.openxmlformats.org/drawingml/2006/picture">
                        <pic:nvPicPr>
                          <pic:cNvPr id="48" name="Picture_2"/>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47" name="Picture_2_SpCnt_1"/>
                  <wp:cNvGraphicFramePr/>
                  <a:graphic xmlns:a="http://schemas.openxmlformats.org/drawingml/2006/main">
                    <a:graphicData uri="http://schemas.openxmlformats.org/drawingml/2006/picture">
                      <pic:pic xmlns:pic="http://schemas.openxmlformats.org/drawingml/2006/picture">
                        <pic:nvPicPr>
                          <pic:cNvPr id="47" name="Picture_2_SpCnt_1"/>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楼PCR室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实验台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4800W*750D*850H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可选</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1、采用12.7mm厚实芯理化板台面，边缘加厚到25.4mm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2、柜体采用1.0mm厚冷轧钢板，剪折焊接打磨，经酸洗磷化后喷涂环氧树脂粉末</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3、优质三节静音导轨、DTC缓冲门铰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4、包含15个错位二三插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4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楼组化室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605790</wp:posOffset>
                  </wp:positionH>
                  <wp:positionV relativeFrom="paragraph">
                    <wp:posOffset>278765</wp:posOffset>
                  </wp:positionV>
                  <wp:extent cx="635" cy="0"/>
                  <wp:effectExtent l="0" t="0" r="0" b="0"/>
                  <wp:wrapNone/>
                  <wp:docPr id="49" name="图片_3"/>
                  <wp:cNvGraphicFramePr/>
                  <a:graphic xmlns:a="http://schemas.openxmlformats.org/drawingml/2006/main">
                    <a:graphicData uri="http://schemas.openxmlformats.org/drawingml/2006/picture">
                      <pic:pic xmlns:pic="http://schemas.openxmlformats.org/drawingml/2006/picture">
                        <pic:nvPicPr>
                          <pic:cNvPr id="49" name="图片_3"/>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1500W*600D*850H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1、台面采用304#国标1.0mm，嵌25mm中纤板作密封加强处理；38*38*1.0mm方管框架，带M10可调脚；                                                                                                                                    2、框架表面满焊打磨拉边处理，工作台带3个抽屉，配三节缓冲导轨，铝合金暗拉手；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5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楼教研室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L形办公桌</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 *1500D*1150H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灰白色</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3、铝合金框架30+60款，MFC板+布绒+玻璃，配可折叠推拉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2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楼教研室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茶几柜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400W*400D*2100H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可选</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8"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楼教研室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矮柜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1400W*400D*1000H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可选</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4"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w:t>
            </w:r>
            <w:r>
              <w:rPr>
                <w:rStyle w:val="11"/>
                <w:bdr w:val="none" w:color="auto" w:sz="0" w:space="0"/>
                <w:lang w:val="en-US" w:eastAsia="zh-CN" w:bidi="ar"/>
              </w:rPr>
              <w:t>PI</w:t>
            </w:r>
            <w:r>
              <w:rPr>
                <w:rStyle w:val="12"/>
                <w:bdr w:val="none" w:color="auto" w:sz="0" w:space="0"/>
                <w:lang w:val="en-US" w:eastAsia="zh-CN" w:bidi="ar"/>
              </w:rPr>
              <w:t>办公室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主管桌</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1500*1500*750</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可选</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1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楼电梯走廊</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门口衣柜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5320W*450D*2400H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可选</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1、基材：采用E1级环保中密度刨花板，产品符合GB/T 4897-2015《刨花板》；GB18580-2017《室内装饰装修材料 人造板及其制品中甲醛释放限量》；HJ571-2010《环境标志产品认证技术要求人造板及其制品》标准，甲醛释放量需优于国家强制性标准，静曲强度、弹性模量均符合标准要求  2、封边：采用近色PVC封边条，厚度不小于2mm。采用全自动全机械化机器封边、修边，表面平整，无脱胶、鼓泡现象。杜绝手工封边、修边，封边后达到完全防水效果。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楼洗消室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1200W*600D*850H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1、台面采用304#国标1.0mm，嵌25mm中纤板作密封加强处理；38*38*1.0mm方管框架，带M10可调脚；                                                                                                                                    2、框架表面满焊打磨拉边处理，工作台带2个抽屉，配三节缓冲导轨，铝合金暗拉手；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7" name="Picture_2_SpCnt_2"/>
                  <wp:cNvGraphicFramePr/>
                  <a:graphic xmlns:a="http://schemas.openxmlformats.org/drawingml/2006/main">
                    <a:graphicData uri="http://schemas.openxmlformats.org/drawingml/2006/picture">
                      <pic:pic xmlns:pic="http://schemas.openxmlformats.org/drawingml/2006/picture">
                        <pic:nvPicPr>
                          <pic:cNvPr id="57" name="Picture_2_SpCnt_2"/>
                          <pic:cNvPicPr/>
                        </pic:nvPicPr>
                        <pic:blipFill>
                          <a:blip r:embed="rId7"/>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9" name="Picture_2_SpCnt_3"/>
                  <wp:cNvGraphicFramePr/>
                  <a:graphic xmlns:a="http://schemas.openxmlformats.org/drawingml/2006/main">
                    <a:graphicData uri="http://schemas.openxmlformats.org/drawingml/2006/picture">
                      <pic:pic xmlns:pic="http://schemas.openxmlformats.org/drawingml/2006/picture">
                        <pic:nvPicPr>
                          <pic:cNvPr id="59" name="Picture_2_SpCnt_3"/>
                          <pic:cNvPicPr/>
                        </pic:nvPicPr>
                        <pic:blipFill>
                          <a:blip r:embed="rId7"/>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楼细胞房2</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1200W*600D*850H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1、台面采用304#国标1.0mm，嵌25mm中纤板作密封加强处理；38*38*1.0mm方管框架，带M10可调脚；                                                                                                                                    2、框架表面满焊打磨拉边处理，工作台带2个抽屉，配三节缓冲导轨，铝合金暗拉手；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6"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63" name="Picture_2_SpCnt_4"/>
                  <wp:cNvGraphicFramePr/>
                  <a:graphic xmlns:a="http://schemas.openxmlformats.org/drawingml/2006/main">
                    <a:graphicData uri="http://schemas.openxmlformats.org/drawingml/2006/picture">
                      <pic:pic xmlns:pic="http://schemas.openxmlformats.org/drawingml/2006/picture">
                        <pic:nvPicPr>
                          <pic:cNvPr id="63" name="Picture_2_SpCnt_4"/>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6" name="Picture_2_SpCnt_5"/>
                  <wp:cNvGraphicFramePr/>
                  <a:graphic xmlns:a="http://schemas.openxmlformats.org/drawingml/2006/main">
                    <a:graphicData uri="http://schemas.openxmlformats.org/drawingml/2006/picture">
                      <pic:pic xmlns:pic="http://schemas.openxmlformats.org/drawingml/2006/picture">
                        <pic:nvPicPr>
                          <pic:cNvPr id="56" name="Picture_2_SpCnt_5"/>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1" name="Picture_2_SpCnt_6"/>
                  <wp:cNvGraphicFramePr/>
                  <a:graphic xmlns:a="http://schemas.openxmlformats.org/drawingml/2006/main">
                    <a:graphicData uri="http://schemas.openxmlformats.org/drawingml/2006/picture">
                      <pic:pic xmlns:pic="http://schemas.openxmlformats.org/drawingml/2006/picture">
                        <pic:nvPicPr>
                          <pic:cNvPr id="51" name="Picture_2_SpCnt_6"/>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0" name="Picture_2_SpCnt_7"/>
                  <wp:cNvGraphicFramePr/>
                  <a:graphic xmlns:a="http://schemas.openxmlformats.org/drawingml/2006/main">
                    <a:graphicData uri="http://schemas.openxmlformats.org/drawingml/2006/picture">
                      <pic:pic xmlns:pic="http://schemas.openxmlformats.org/drawingml/2006/picture">
                        <pic:nvPicPr>
                          <pic:cNvPr id="50" name="Picture_2_SpCnt_7"/>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楼标本室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不锈钢台</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1200W*400D*900H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1、台面采用304#国标1.0mm，嵌25mm中纤板作密封加强处理；38*38*1.0mm方管框架，带M10可调脚；                                                                                                                                    2、框架表面满焊打磨拉边处理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8"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46" name="Picture_2_SpCnt_8"/>
                  <wp:cNvGraphicFramePr/>
                  <a:graphic xmlns:a="http://schemas.openxmlformats.org/drawingml/2006/main">
                    <a:graphicData uri="http://schemas.openxmlformats.org/drawingml/2006/picture">
                      <pic:pic xmlns:pic="http://schemas.openxmlformats.org/drawingml/2006/picture">
                        <pic:nvPicPr>
                          <pic:cNvPr id="46" name="Picture_2_SpCnt_8"/>
                          <pic:cNvPicPr/>
                        </pic:nvPicPr>
                        <pic:blipFill>
                          <a:blip r:embed="rId8"/>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2" name="Picture_2_SpCnt_9"/>
                  <wp:cNvGraphicFramePr/>
                  <a:graphic xmlns:a="http://schemas.openxmlformats.org/drawingml/2006/main">
                    <a:graphicData uri="http://schemas.openxmlformats.org/drawingml/2006/picture">
                      <pic:pic xmlns:pic="http://schemas.openxmlformats.org/drawingml/2006/picture">
                        <pic:nvPicPr>
                          <pic:cNvPr id="52" name="Picture_2_SpCnt_9"/>
                          <pic:cNvPicPr/>
                        </pic:nvPicPr>
                        <pic:blipFill>
                          <a:blip r:embed="rId8"/>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45" name="Picture_2_SpCnt_10"/>
                  <wp:cNvGraphicFramePr/>
                  <a:graphic xmlns:a="http://schemas.openxmlformats.org/drawingml/2006/main">
                    <a:graphicData uri="http://schemas.openxmlformats.org/drawingml/2006/picture">
                      <pic:pic xmlns:pic="http://schemas.openxmlformats.org/drawingml/2006/picture">
                        <pic:nvPicPr>
                          <pic:cNvPr id="45" name="Picture_2_SpCnt_10"/>
                          <pic:cNvPicPr/>
                        </pic:nvPicPr>
                        <pic:blipFill>
                          <a:blip r:embed="rId8"/>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8" name="Picture_2_SpCnt_11"/>
                  <wp:cNvGraphicFramePr/>
                  <a:graphic xmlns:a="http://schemas.openxmlformats.org/drawingml/2006/main">
                    <a:graphicData uri="http://schemas.openxmlformats.org/drawingml/2006/picture">
                      <pic:pic xmlns:pic="http://schemas.openxmlformats.org/drawingml/2006/picture">
                        <pic:nvPicPr>
                          <pic:cNvPr id="58" name="Picture_2_SpCnt_11"/>
                          <pic:cNvPicPr/>
                        </pic:nvPicPr>
                        <pic:blipFill>
                          <a:blip r:embed="rId8"/>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8楼资料室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文件柜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900W*450D*2100H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灰白色</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3"/>
                <w:bdr w:val="none" w:color="auto" w:sz="0" w:space="0"/>
                <w:lang w:val="en-US" w:eastAsia="zh-CN" w:bidi="ar"/>
              </w:rPr>
              <w:t>1、1.0mm优质冷轧钢板，冲压折弯焊接打磨成型，酸洗磷化后喷涂环氧树脂粉末，高温固化；                                                                                     2、上面2门带玻璃，</w:t>
            </w:r>
            <w:r>
              <w:rPr>
                <w:rStyle w:val="14"/>
                <w:bdr w:val="none" w:color="auto" w:sz="0" w:space="0"/>
                <w:lang w:val="en-US" w:eastAsia="zh-CN" w:bidi="ar"/>
              </w:rPr>
              <w:t>2层活动层板，</w:t>
            </w:r>
            <w:r>
              <w:rPr>
                <w:rStyle w:val="13"/>
                <w:bdr w:val="none" w:color="auto" w:sz="0" w:space="0"/>
                <w:lang w:val="en-US" w:eastAsia="zh-CN" w:bidi="ar"/>
              </w:rPr>
              <w:t>下面2个实门，1层活动层板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8楼资料室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文件柜</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900W*450D*2100H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灰白色</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1、1.0mm优质冷轧钢板，冲压折弯焊接打磨成型，酸洗磷化后喷涂环氧树脂粉末，高温固化；                                                                                     2、上面2门，2层活动层板，下面10个抽屉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7楼细胞房</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650*650*200</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框架采用304#方管30*30*1.2mm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78"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楼洗消室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1600W*450D*2000H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1、304#国标1.0mm，栅格式上下共6层，30*30*1.0mm层架外框，内焊接25*13*1.0mm层架；                                                                        2、38*38*1.0mm方管立柱，表面满焊打磨拉边，带M10可调脚；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9</w:t>
            </w:r>
            <w:r>
              <w:rPr>
                <w:rStyle w:val="12"/>
                <w:bdr w:val="none" w:color="auto" w:sz="0" w:space="0"/>
                <w:lang w:val="en-US" w:eastAsia="zh-CN" w:bidi="ar"/>
              </w:rPr>
              <w:t>楼洁物贮存</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950W*400D*2000H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3"/>
                <w:bdr w:val="none" w:color="auto" w:sz="0" w:space="0"/>
                <w:lang w:val="en-US" w:eastAsia="zh-CN" w:bidi="ar"/>
              </w:rPr>
              <w:t>1、304#国标1.0mm，拆装式层板，上下共6层；层板单层加加强筋；                                                                                     2、层板活动可调,38*38*1.0mm方管立柱，表面满焊打磨拉边，带M10可调脚；</w:t>
            </w:r>
            <w:r>
              <w:rPr>
                <w:rStyle w:val="13"/>
                <w:bdr w:val="none" w:color="auto" w:sz="0" w:space="0"/>
                <w:lang w:val="en-US" w:eastAsia="zh-CN" w:bidi="ar"/>
              </w:rPr>
              <w:br w:type="textWrapping"/>
            </w:r>
            <w:r>
              <w:rPr>
                <w:rStyle w:val="14"/>
                <w:bdr w:val="none" w:color="auto" w:sz="0" w:space="0"/>
                <w:lang w:val="en-US" w:eastAsia="zh-CN" w:bidi="ar"/>
              </w:rPr>
              <w:t>改为固定款、有圆弧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3" name="Picture_2_SpCnt_12"/>
                  <wp:cNvGraphicFramePr/>
                  <a:graphic xmlns:a="http://schemas.openxmlformats.org/drawingml/2006/main">
                    <a:graphicData uri="http://schemas.openxmlformats.org/drawingml/2006/picture">
                      <pic:pic xmlns:pic="http://schemas.openxmlformats.org/drawingml/2006/picture">
                        <pic:nvPicPr>
                          <pic:cNvPr id="53" name="Picture_2_SpCnt_12"/>
                          <pic:cNvPicPr/>
                        </pic:nvPicPr>
                        <pic:blipFill>
                          <a:blip r:embed="rId8"/>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54" name="Picture_2_SpCnt_13"/>
                  <wp:cNvGraphicFramePr/>
                  <a:graphic xmlns:a="http://schemas.openxmlformats.org/drawingml/2006/main">
                    <a:graphicData uri="http://schemas.openxmlformats.org/drawingml/2006/picture">
                      <pic:pic xmlns:pic="http://schemas.openxmlformats.org/drawingml/2006/picture">
                        <pic:nvPicPr>
                          <pic:cNvPr id="54" name="Picture_2_SpCnt_13"/>
                          <pic:cNvPicPr/>
                        </pic:nvPicPr>
                        <pic:blipFill>
                          <a:blip r:embed="rId8"/>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楼细胞房</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605790</wp:posOffset>
                  </wp:positionH>
                  <wp:positionV relativeFrom="paragraph">
                    <wp:posOffset>278765</wp:posOffset>
                  </wp:positionV>
                  <wp:extent cx="635" cy="0"/>
                  <wp:effectExtent l="0" t="0" r="0" b="0"/>
                  <wp:wrapNone/>
                  <wp:docPr id="55" name="图片_43"/>
                  <wp:cNvGraphicFramePr/>
                  <a:graphic xmlns:a="http://schemas.openxmlformats.org/drawingml/2006/main">
                    <a:graphicData uri="http://schemas.openxmlformats.org/drawingml/2006/picture">
                      <pic:pic xmlns:pic="http://schemas.openxmlformats.org/drawingml/2006/picture">
                        <pic:nvPicPr>
                          <pic:cNvPr id="55" name="图片_43"/>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1300W*450D*2100H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1、304#国标1.0mm，拆装式层板，上下共6层；层板单层加加强筋；                                                                                     2、层板活动可调,38*38*1.0mm方管立柱，表面满焊打磨拉边，带M10可调脚；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8</w:t>
            </w:r>
            <w:r>
              <w:rPr>
                <w:rStyle w:val="12"/>
                <w:bdr w:val="none" w:color="auto" w:sz="0" w:space="0"/>
                <w:lang w:val="en-US" w:eastAsia="zh-CN" w:bidi="ar"/>
              </w:rPr>
              <w:t>楼细胞房</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1400W*450D*2100H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1、304#国标1.0mm，拆装式层板，上下共6层；层板单层加加强筋；                                                                                     2、层板活动可调,38*38*1.0mm方管立柱，表面满焊打磨拉边，带M10可调脚；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728980"/>
                  <wp:effectExtent l="0" t="0" r="0" b="0"/>
                  <wp:wrapNone/>
                  <wp:docPr id="60" name="Picture_2_SpCnt_14"/>
                  <wp:cNvGraphicFramePr/>
                  <a:graphic xmlns:a="http://schemas.openxmlformats.org/drawingml/2006/main">
                    <a:graphicData uri="http://schemas.openxmlformats.org/drawingml/2006/picture">
                      <pic:pic xmlns:pic="http://schemas.openxmlformats.org/drawingml/2006/picture">
                        <pic:nvPicPr>
                          <pic:cNvPr id="60" name="Picture_2_SpCnt_14"/>
                          <pic:cNvPicPr/>
                        </pic:nvPicPr>
                        <pic:blipFill>
                          <a:blip r:embed="rId9"/>
                          <a:stretch>
                            <a:fillRect/>
                          </a:stretch>
                        </pic:blipFill>
                        <pic:spPr>
                          <a:xfrm>
                            <a:off x="0" y="0"/>
                            <a:ext cx="669925" cy="72898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728980"/>
                  <wp:effectExtent l="0" t="0" r="0" b="0"/>
                  <wp:wrapNone/>
                  <wp:docPr id="61" name="Picture_2_SpCnt_15"/>
                  <wp:cNvGraphicFramePr/>
                  <a:graphic xmlns:a="http://schemas.openxmlformats.org/drawingml/2006/main">
                    <a:graphicData uri="http://schemas.openxmlformats.org/drawingml/2006/picture">
                      <pic:pic xmlns:pic="http://schemas.openxmlformats.org/drawingml/2006/picture">
                        <pic:nvPicPr>
                          <pic:cNvPr id="61" name="Picture_2_SpCnt_15"/>
                          <pic:cNvPicPr/>
                        </pic:nvPicPr>
                        <pic:blipFill>
                          <a:blip r:embed="rId9"/>
                          <a:stretch>
                            <a:fillRect/>
                          </a:stretch>
                        </pic:blipFill>
                        <pic:spPr>
                          <a:xfrm>
                            <a:off x="0" y="0"/>
                            <a:ext cx="669925" cy="72898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楼细胞房1</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605790</wp:posOffset>
                  </wp:positionH>
                  <wp:positionV relativeFrom="paragraph">
                    <wp:posOffset>278765</wp:posOffset>
                  </wp:positionV>
                  <wp:extent cx="635" cy="0"/>
                  <wp:effectExtent l="0" t="0" r="0" b="0"/>
                  <wp:wrapNone/>
                  <wp:docPr id="62" name="图片_7"/>
                  <wp:cNvGraphicFramePr/>
                  <a:graphic xmlns:a="http://schemas.openxmlformats.org/drawingml/2006/main">
                    <a:graphicData uri="http://schemas.openxmlformats.org/drawingml/2006/picture">
                      <pic:pic xmlns:pic="http://schemas.openxmlformats.org/drawingml/2006/picture">
                        <pic:nvPicPr>
                          <pic:cNvPr id="62" name="图片_7"/>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1300W*450D*2000H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1、304#国标1.0mm，拆装式层板，上下共6层；层板单层加加强筋；                                                                                     2、层板活动可调,38*38*1.0mm方管立柱，表面满焊打磨拉边，带M10可调脚；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楼细胞房2</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1400W*450D*2000H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1、304#国标1.0mm，拆装式层板，上下共6层；层板单层加加强筋；                                                                                     2、层板活动可调,38*38*1.0mm方管立柱，表面满焊打磨拉边，带M10可调脚；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4" w:hRule="atLeast"/>
        </w:trPr>
        <w:tc>
          <w:tcPr>
            <w:tcW w:w="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64" name="Picture_2_SpCnt_16"/>
                  <wp:cNvGraphicFramePr/>
                  <a:graphic xmlns:a="http://schemas.openxmlformats.org/drawingml/2006/main">
                    <a:graphicData uri="http://schemas.openxmlformats.org/drawingml/2006/picture">
                      <pic:pic xmlns:pic="http://schemas.openxmlformats.org/drawingml/2006/picture">
                        <pic:nvPicPr>
                          <pic:cNvPr id="64" name="Picture_2_SpCnt_16"/>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669925" cy="305435"/>
                  <wp:effectExtent l="0" t="0" r="0" b="0"/>
                  <wp:wrapNone/>
                  <wp:docPr id="65" name="Picture_2_SpCnt_17"/>
                  <wp:cNvGraphicFramePr/>
                  <a:graphic xmlns:a="http://schemas.openxmlformats.org/drawingml/2006/main">
                    <a:graphicData uri="http://schemas.openxmlformats.org/drawingml/2006/picture">
                      <pic:pic xmlns:pic="http://schemas.openxmlformats.org/drawingml/2006/picture">
                        <pic:nvPicPr>
                          <pic:cNvPr id="65" name="Picture_2_SpCnt_17"/>
                          <pic:cNvPicPr/>
                        </pic:nvPicPr>
                        <pic:blipFill>
                          <a:blip r:embed="rId5"/>
                          <a:stretch>
                            <a:fillRect/>
                          </a:stretch>
                        </pic:blipFill>
                        <pic:spPr>
                          <a:xfrm>
                            <a:off x="0" y="0"/>
                            <a:ext cx="669925" cy="3054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9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bdr w:val="none" w:color="auto" w:sz="0" w:space="0"/>
                <w:lang w:val="en-US" w:eastAsia="zh-CN" w:bidi="ar"/>
              </w:rPr>
              <w:t>7</w:t>
            </w:r>
            <w:r>
              <w:rPr>
                <w:rStyle w:val="12"/>
                <w:bdr w:val="none" w:color="auto" w:sz="0" w:space="0"/>
                <w:lang w:val="en-US" w:eastAsia="zh-CN" w:bidi="ar"/>
              </w:rPr>
              <w:t>楼细菌室</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605790</wp:posOffset>
                  </wp:positionH>
                  <wp:positionV relativeFrom="paragraph">
                    <wp:posOffset>278765</wp:posOffset>
                  </wp:positionV>
                  <wp:extent cx="635" cy="0"/>
                  <wp:effectExtent l="0" t="0" r="0" b="0"/>
                  <wp:wrapNone/>
                  <wp:docPr id="66" name="图片_24"/>
                  <wp:cNvGraphicFramePr/>
                  <a:graphic xmlns:a="http://schemas.openxmlformats.org/drawingml/2006/main">
                    <a:graphicData uri="http://schemas.openxmlformats.org/drawingml/2006/picture">
                      <pic:pic xmlns:pic="http://schemas.openxmlformats.org/drawingml/2006/picture">
                        <pic:nvPicPr>
                          <pic:cNvPr id="66" name="图片_24"/>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货架</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600W*900D*2000H</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银色拉丝</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1、304#国标1.0mm，拆装式层板，上下共6层；层板单层加加强筋；                                                                                     2、层板活动可调,38*38*1.0mm方管立柱，表面满焊打磨拉边，带M10可调脚；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bdr w:val="none" w:color="auto" w:sz="0" w:space="0"/>
                <w:lang w:val="en-US" w:eastAsia="zh-CN" w:bidi="ar"/>
              </w:rPr>
              <w:t>27</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安装、运费、税费</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ahoma" w:hAnsi="Tahoma" w:eastAsia="Tahoma" w:cs="Tahoma"/>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ahoma" w:hAnsi="Tahoma" w:eastAsia="Tahoma" w:cs="Tahoma"/>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default" w:ascii="Tahoma" w:hAnsi="Tahoma" w:eastAsia="Tahoma" w:cs="Tahoma"/>
                <w:i w:val="0"/>
                <w:iCs w:val="0"/>
                <w:color w:val="000000"/>
                <w:sz w:val="22"/>
                <w:szCs w:val="22"/>
                <w:u w:val="none"/>
              </w:rPr>
            </w:pPr>
          </w:p>
        </w:tc>
      </w:tr>
    </w:tbl>
    <w:p>
      <w:pPr>
        <w:spacing w:line="360" w:lineRule="auto"/>
        <w:rPr>
          <w:rFonts w:hint="eastAsia" w:ascii="仿宋" w:hAnsi="仿宋" w:eastAsia="仿宋"/>
          <w:b/>
          <w:bCs/>
          <w:sz w:val="24"/>
          <w:lang w:val="en-US" w:eastAsia="zh-CN"/>
        </w:rPr>
      </w:pPr>
      <w:r>
        <w:rPr>
          <w:rFonts w:hint="eastAsia" w:ascii="仿宋" w:hAnsi="仿宋" w:eastAsia="仿宋"/>
          <w:b/>
          <w:bCs/>
          <w:sz w:val="24"/>
          <w:lang w:val="en-US" w:eastAsia="zh-CN"/>
        </w:rPr>
        <w:t>包二：</w:t>
      </w:r>
    </w:p>
    <w:tbl>
      <w:tblPr>
        <w:tblW w:w="100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7"/>
        <w:gridCol w:w="1157"/>
        <w:gridCol w:w="1680"/>
        <w:gridCol w:w="504"/>
        <w:gridCol w:w="480"/>
        <w:gridCol w:w="1560"/>
        <w:gridCol w:w="4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050"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海珠广场牙体牙髓二室柜类规格清单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规格(mm)</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材质</w:t>
            </w:r>
          </w:p>
        </w:tc>
        <w:tc>
          <w:tcPr>
            <w:tcW w:w="4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二楼诊室11物品柜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1150*500*2520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125730</wp:posOffset>
                  </wp:positionV>
                  <wp:extent cx="999490" cy="1098550"/>
                  <wp:effectExtent l="0" t="0" r="6350" b="13970"/>
                  <wp:wrapNone/>
                  <wp:docPr id="104" name="图片_1"/>
                  <wp:cNvGraphicFramePr/>
                  <a:graphic xmlns:a="http://schemas.openxmlformats.org/drawingml/2006/main">
                    <a:graphicData uri="http://schemas.openxmlformats.org/drawingml/2006/picture">
                      <pic:pic xmlns:pic="http://schemas.openxmlformats.org/drawingml/2006/picture">
                        <pic:nvPicPr>
                          <pic:cNvPr id="104" name="图片_1"/>
                          <pic:cNvPicPr/>
                        </pic:nvPicPr>
                        <pic:blipFill>
                          <a:blip r:embed="rId10"/>
                          <a:stretch>
                            <a:fillRect/>
                          </a:stretch>
                        </pic:blipFill>
                        <pic:spPr>
                          <a:xfrm>
                            <a:off x="0" y="0"/>
                            <a:ext cx="999490" cy="10985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二楼诊室11物品柜</w:t>
            </w:r>
          </w:p>
        </w:tc>
        <w:tc>
          <w:tcPr>
            <w:tcW w:w="1680" w:type="dxa"/>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1730*500*2520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二楼诊室2物品柜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1320*550*1400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41910</wp:posOffset>
                  </wp:positionV>
                  <wp:extent cx="977265" cy="1117600"/>
                  <wp:effectExtent l="0" t="0" r="13335" b="10160"/>
                  <wp:wrapNone/>
                  <wp:docPr id="105" name="图片_2"/>
                  <wp:cNvGraphicFramePr/>
                  <a:graphic xmlns:a="http://schemas.openxmlformats.org/drawingml/2006/main">
                    <a:graphicData uri="http://schemas.openxmlformats.org/drawingml/2006/picture">
                      <pic:pic xmlns:pic="http://schemas.openxmlformats.org/drawingml/2006/picture">
                        <pic:nvPicPr>
                          <pic:cNvPr id="105" name="图片_2"/>
                          <pic:cNvPicPr/>
                        </pic:nvPicPr>
                        <pic:blipFill>
                          <a:blip r:embed="rId11"/>
                          <a:stretch>
                            <a:fillRect/>
                          </a:stretch>
                        </pic:blipFill>
                        <pic:spPr>
                          <a:xfrm>
                            <a:off x="0" y="0"/>
                            <a:ext cx="977265" cy="11176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二楼诊室10高柜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1410*450*2520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363220</wp:posOffset>
                  </wp:positionH>
                  <wp:positionV relativeFrom="paragraph">
                    <wp:posOffset>107315</wp:posOffset>
                  </wp:positionV>
                  <wp:extent cx="561340" cy="805815"/>
                  <wp:effectExtent l="0" t="0" r="2540" b="1905"/>
                  <wp:wrapNone/>
                  <wp:docPr id="103" name="图片_3"/>
                  <wp:cNvGraphicFramePr/>
                  <a:graphic xmlns:a="http://schemas.openxmlformats.org/drawingml/2006/main">
                    <a:graphicData uri="http://schemas.openxmlformats.org/drawingml/2006/picture">
                      <pic:pic xmlns:pic="http://schemas.openxmlformats.org/drawingml/2006/picture">
                        <pic:nvPicPr>
                          <pic:cNvPr id="103" name="图片_3"/>
                          <pic:cNvPicPr/>
                        </pic:nvPicPr>
                        <pic:blipFill>
                          <a:blip r:embed="rId12"/>
                          <a:stretch>
                            <a:fillRect/>
                          </a:stretch>
                        </pic:blipFill>
                        <pic:spPr>
                          <a:xfrm>
                            <a:off x="0" y="0"/>
                            <a:ext cx="561340" cy="8058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二楼诊室12高柜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515*650*2520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438785</wp:posOffset>
                  </wp:positionH>
                  <wp:positionV relativeFrom="paragraph">
                    <wp:posOffset>12700</wp:posOffset>
                  </wp:positionV>
                  <wp:extent cx="506095" cy="967105"/>
                  <wp:effectExtent l="0" t="0" r="12065" b="8255"/>
                  <wp:wrapNone/>
                  <wp:docPr id="102" name="图片_4"/>
                  <wp:cNvGraphicFramePr/>
                  <a:graphic xmlns:a="http://schemas.openxmlformats.org/drawingml/2006/main">
                    <a:graphicData uri="http://schemas.openxmlformats.org/drawingml/2006/picture">
                      <pic:pic xmlns:pic="http://schemas.openxmlformats.org/drawingml/2006/picture">
                        <pic:nvPicPr>
                          <pic:cNvPr id="102" name="图片_4"/>
                          <pic:cNvPicPr/>
                        </pic:nvPicPr>
                        <pic:blipFill>
                          <a:blip r:embed="rId13"/>
                          <a:stretch>
                            <a:fillRect/>
                          </a:stretch>
                        </pic:blipFill>
                        <pic:spPr>
                          <a:xfrm>
                            <a:off x="0" y="0"/>
                            <a:ext cx="506095" cy="9671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二楼储物间高柜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1050*350*2520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75565</wp:posOffset>
                  </wp:positionV>
                  <wp:extent cx="610235" cy="1017905"/>
                  <wp:effectExtent l="0" t="0" r="14605" b="3175"/>
                  <wp:wrapNone/>
                  <wp:docPr id="101" name="图片_5"/>
                  <wp:cNvGraphicFramePr/>
                  <a:graphic xmlns:a="http://schemas.openxmlformats.org/drawingml/2006/main">
                    <a:graphicData uri="http://schemas.openxmlformats.org/drawingml/2006/picture">
                      <pic:pic xmlns:pic="http://schemas.openxmlformats.org/drawingml/2006/picture">
                        <pic:nvPicPr>
                          <pic:cNvPr id="101" name="图片_5"/>
                          <pic:cNvPicPr/>
                        </pic:nvPicPr>
                        <pic:blipFill>
                          <a:blip r:embed="rId14"/>
                          <a:stretch>
                            <a:fillRect/>
                          </a:stretch>
                        </pic:blipFill>
                        <pic:spPr>
                          <a:xfrm>
                            <a:off x="0" y="0"/>
                            <a:ext cx="610235" cy="10179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二楼储物间高柜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900*480*2520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28575</wp:posOffset>
                  </wp:positionV>
                  <wp:extent cx="659130" cy="1107440"/>
                  <wp:effectExtent l="0" t="0" r="11430" b="5080"/>
                  <wp:wrapNone/>
                  <wp:docPr id="98" name="图片_6"/>
                  <wp:cNvGraphicFramePr/>
                  <a:graphic xmlns:a="http://schemas.openxmlformats.org/drawingml/2006/main">
                    <a:graphicData uri="http://schemas.openxmlformats.org/drawingml/2006/picture">
                      <pic:pic xmlns:pic="http://schemas.openxmlformats.org/drawingml/2006/picture">
                        <pic:nvPicPr>
                          <pic:cNvPr id="98" name="图片_6"/>
                          <pic:cNvPicPr/>
                        </pic:nvPicPr>
                        <pic:blipFill>
                          <a:blip r:embed="rId15"/>
                          <a:stretch>
                            <a:fillRect/>
                          </a:stretch>
                        </pic:blipFill>
                        <pic:spPr>
                          <a:xfrm>
                            <a:off x="0" y="0"/>
                            <a:ext cx="659130" cy="11074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二楼牙直8号位物品柜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1860*500*2530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286385</wp:posOffset>
                  </wp:positionH>
                  <wp:positionV relativeFrom="paragraph">
                    <wp:posOffset>165100</wp:posOffset>
                  </wp:positionV>
                  <wp:extent cx="743585" cy="989330"/>
                  <wp:effectExtent l="0" t="0" r="3175" b="1270"/>
                  <wp:wrapNone/>
                  <wp:docPr id="99" name="图片_7"/>
                  <wp:cNvGraphicFramePr/>
                  <a:graphic xmlns:a="http://schemas.openxmlformats.org/drawingml/2006/main">
                    <a:graphicData uri="http://schemas.openxmlformats.org/drawingml/2006/picture">
                      <pic:pic xmlns:pic="http://schemas.openxmlformats.org/drawingml/2006/picture">
                        <pic:nvPicPr>
                          <pic:cNvPr id="99" name="图片_7"/>
                          <pic:cNvPicPr/>
                        </pic:nvPicPr>
                        <pic:blipFill>
                          <a:blip r:embed="rId16"/>
                          <a:stretch>
                            <a:fillRect/>
                          </a:stretch>
                        </pic:blipFill>
                        <pic:spPr>
                          <a:xfrm>
                            <a:off x="0" y="0"/>
                            <a:ext cx="743585" cy="989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三楼物品柜1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1570*400*2300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人造石台面：15mm厚白色人造石，边缘双层加厚至≥30㎜  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267335</wp:posOffset>
                  </wp:positionH>
                  <wp:positionV relativeFrom="paragraph">
                    <wp:posOffset>70485</wp:posOffset>
                  </wp:positionV>
                  <wp:extent cx="713740" cy="1079500"/>
                  <wp:effectExtent l="0" t="0" r="2540" b="2540"/>
                  <wp:wrapNone/>
                  <wp:docPr id="100" name="图片_8"/>
                  <wp:cNvGraphicFramePr/>
                  <a:graphic xmlns:a="http://schemas.openxmlformats.org/drawingml/2006/main">
                    <a:graphicData uri="http://schemas.openxmlformats.org/drawingml/2006/picture">
                      <pic:pic xmlns:pic="http://schemas.openxmlformats.org/drawingml/2006/picture">
                        <pic:nvPicPr>
                          <pic:cNvPr id="100" name="图片_8"/>
                          <pic:cNvPicPr/>
                        </pic:nvPicPr>
                        <pic:blipFill>
                          <a:blip r:embed="rId17"/>
                          <a:stretch>
                            <a:fillRect/>
                          </a:stretch>
                        </pic:blipFill>
                        <pic:spPr>
                          <a:xfrm>
                            <a:off x="0" y="0"/>
                            <a:ext cx="713740" cy="10795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三楼电脑台2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1050*500*2300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vMerge w:val="continue"/>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13970</wp:posOffset>
                  </wp:positionV>
                  <wp:extent cx="671830" cy="1159510"/>
                  <wp:effectExtent l="0" t="0" r="13970" b="13970"/>
                  <wp:wrapNone/>
                  <wp:docPr id="97" name="图片_9"/>
                  <wp:cNvGraphicFramePr/>
                  <a:graphic xmlns:a="http://schemas.openxmlformats.org/drawingml/2006/main">
                    <a:graphicData uri="http://schemas.openxmlformats.org/drawingml/2006/picture">
                      <pic:pic xmlns:pic="http://schemas.openxmlformats.org/drawingml/2006/picture">
                        <pic:nvPicPr>
                          <pic:cNvPr id="97" name="图片_9"/>
                          <pic:cNvPicPr/>
                        </pic:nvPicPr>
                        <pic:blipFill>
                          <a:blip r:embed="rId18"/>
                          <a:stretch>
                            <a:fillRect/>
                          </a:stretch>
                        </pic:blipFill>
                        <pic:spPr>
                          <a:xfrm>
                            <a:off x="0" y="0"/>
                            <a:ext cx="671830" cy="11595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三楼物品柜3</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600*400*2300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179070</wp:posOffset>
                  </wp:positionV>
                  <wp:extent cx="676275" cy="796290"/>
                  <wp:effectExtent l="0" t="0" r="9525" b="11430"/>
                  <wp:wrapNone/>
                  <wp:docPr id="94" name="图片_10"/>
                  <wp:cNvGraphicFramePr/>
                  <a:graphic xmlns:a="http://schemas.openxmlformats.org/drawingml/2006/main">
                    <a:graphicData uri="http://schemas.openxmlformats.org/drawingml/2006/picture">
                      <pic:pic xmlns:pic="http://schemas.openxmlformats.org/drawingml/2006/picture">
                        <pic:nvPicPr>
                          <pic:cNvPr id="94" name="图片_10"/>
                          <pic:cNvPicPr/>
                        </pic:nvPicPr>
                        <pic:blipFill>
                          <a:blip r:embed="rId19"/>
                          <a:stretch>
                            <a:fillRect/>
                          </a:stretch>
                        </pic:blipFill>
                        <pic:spPr>
                          <a:xfrm>
                            <a:off x="0" y="0"/>
                            <a:ext cx="676275" cy="7962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三楼更衣柜4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1550*400*2500(包含380*840*960）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186690</wp:posOffset>
                  </wp:positionV>
                  <wp:extent cx="963930" cy="1026795"/>
                  <wp:effectExtent l="0" t="0" r="11430" b="9525"/>
                  <wp:wrapNone/>
                  <wp:docPr id="93" name="图片_11"/>
                  <wp:cNvGraphicFramePr/>
                  <a:graphic xmlns:a="http://schemas.openxmlformats.org/drawingml/2006/main">
                    <a:graphicData uri="http://schemas.openxmlformats.org/drawingml/2006/picture">
                      <pic:pic xmlns:pic="http://schemas.openxmlformats.org/drawingml/2006/picture">
                        <pic:nvPicPr>
                          <pic:cNvPr id="93" name="图片_11"/>
                          <pic:cNvPicPr/>
                        </pic:nvPicPr>
                        <pic:blipFill>
                          <a:blip r:embed="rId20"/>
                          <a:stretch>
                            <a:fillRect/>
                          </a:stretch>
                        </pic:blipFill>
                        <pic:spPr>
                          <a:xfrm>
                            <a:off x="0" y="0"/>
                            <a:ext cx="963930" cy="10267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三楼更衣柜5</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2400*400*2500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三楼更衣柜6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2150*400*2500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267335</wp:posOffset>
                  </wp:positionH>
                  <wp:positionV relativeFrom="paragraph">
                    <wp:posOffset>68580</wp:posOffset>
                  </wp:positionV>
                  <wp:extent cx="610235" cy="823595"/>
                  <wp:effectExtent l="0" t="0" r="14605" b="14605"/>
                  <wp:wrapNone/>
                  <wp:docPr id="95" name="图片_13"/>
                  <wp:cNvGraphicFramePr/>
                  <a:graphic xmlns:a="http://schemas.openxmlformats.org/drawingml/2006/main">
                    <a:graphicData uri="http://schemas.openxmlformats.org/drawingml/2006/picture">
                      <pic:pic xmlns:pic="http://schemas.openxmlformats.org/drawingml/2006/picture">
                        <pic:nvPicPr>
                          <pic:cNvPr id="95" name="图片_13"/>
                          <pic:cNvPicPr/>
                        </pic:nvPicPr>
                        <pic:blipFill>
                          <a:blip r:embed="rId21"/>
                          <a:stretch>
                            <a:fillRect/>
                          </a:stretch>
                        </pic:blipFill>
                        <pic:spPr>
                          <a:xfrm>
                            <a:off x="0" y="0"/>
                            <a:ext cx="610235" cy="8235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1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三楼男更衣柜7</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1800*400*2500</w:t>
            </w:r>
          </w:p>
        </w:tc>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1.0MM厚电解钢板加工，环氧树脂喷涂，颜色：9003半光白</w:t>
            </w:r>
          </w:p>
        </w:tc>
        <w:tc>
          <w:tcPr>
            <w:tcW w:w="42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53975</wp:posOffset>
                  </wp:positionV>
                  <wp:extent cx="609600" cy="996315"/>
                  <wp:effectExtent l="0" t="0" r="0" b="9525"/>
                  <wp:wrapNone/>
                  <wp:docPr id="96" name="图片_12"/>
                  <wp:cNvGraphicFramePr/>
                  <a:graphic xmlns:a="http://schemas.openxmlformats.org/drawingml/2006/main">
                    <a:graphicData uri="http://schemas.openxmlformats.org/drawingml/2006/picture">
                      <pic:pic xmlns:pic="http://schemas.openxmlformats.org/drawingml/2006/picture">
                        <pic:nvPicPr>
                          <pic:cNvPr id="96" name="图片_12"/>
                          <pic:cNvPicPr/>
                        </pic:nvPicPr>
                        <pic:blipFill>
                          <a:blip r:embed="rId22"/>
                          <a:stretch>
                            <a:fillRect/>
                          </a:stretch>
                        </pic:blipFill>
                        <pic:spPr>
                          <a:xfrm>
                            <a:off x="0" y="0"/>
                            <a:ext cx="609600" cy="9963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16</w:t>
            </w:r>
          </w:p>
        </w:tc>
        <w:tc>
          <w:tcPr>
            <w:tcW w:w="283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安装、运费、税费</w:t>
            </w:r>
          </w:p>
        </w:tc>
        <w:tc>
          <w:tcPr>
            <w:tcW w:w="50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5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28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bl>
    <w:p>
      <w:pPr>
        <w:spacing w:line="360" w:lineRule="auto"/>
        <w:rPr>
          <w:rFonts w:hint="default" w:ascii="仿宋" w:hAnsi="仿宋" w:eastAsia="仿宋"/>
          <w:sz w:val="24"/>
          <w:lang w:val="en-US" w:eastAsia="zh-CN"/>
        </w:rPr>
      </w:pPr>
    </w:p>
    <w:p>
      <w:pPr>
        <w:autoSpaceDE w:val="0"/>
        <w:autoSpaceDN w:val="0"/>
        <w:rPr>
          <w:rFonts w:ascii="仿宋" w:hAnsi="仿宋" w:eastAsia="仿宋"/>
          <w:sz w:val="24"/>
          <w:lang w:val="zh-CN"/>
        </w:rPr>
      </w:pPr>
      <w:r>
        <w:rPr>
          <w:rFonts w:hint="eastAsia" w:ascii="仿宋" w:hAnsi="仿宋" w:eastAsia="仿宋"/>
          <w:sz w:val="24"/>
          <w:lang w:val="zh-CN"/>
        </w:rPr>
        <w:t>七、参与人资格：</w:t>
      </w:r>
    </w:p>
    <w:p>
      <w:pPr>
        <w:spacing w:line="360" w:lineRule="auto"/>
        <w:rPr>
          <w:rFonts w:ascii="仿宋" w:hAnsi="仿宋" w:eastAsia="仿宋"/>
          <w:sz w:val="24"/>
        </w:rPr>
      </w:pPr>
      <w:bookmarkStart w:id="0" w:name="OLE_LINK1"/>
      <w:r>
        <w:rPr>
          <w:rFonts w:hint="eastAsia" w:ascii="仿宋" w:hAnsi="仿宋" w:eastAsia="仿宋"/>
          <w:sz w:val="24"/>
        </w:rPr>
        <w:t>1、投标人必须具有独立法人资格，能独立承担民事法律责任，并在中华人民共和国境内注册的法人机构（须提供年检有效期内的企业法人证书和营业执照或三证合一复印件）。</w:t>
      </w:r>
    </w:p>
    <w:p>
      <w:pPr>
        <w:pStyle w:val="7"/>
        <w:numPr>
          <w:ilvl w:val="0"/>
          <w:numId w:val="1"/>
        </w:numPr>
        <w:spacing w:line="360" w:lineRule="auto"/>
        <w:ind w:firstLineChars="0"/>
        <w:rPr>
          <w:rFonts w:ascii="仿宋" w:hAnsi="仿宋" w:eastAsia="仿宋"/>
          <w:sz w:val="24"/>
        </w:rPr>
      </w:pPr>
      <w:r>
        <w:rPr>
          <w:rFonts w:hint="eastAsia" w:ascii="仿宋" w:hAnsi="仿宋" w:eastAsia="仿宋"/>
          <w:sz w:val="24"/>
        </w:rPr>
        <w:t>投标人的工商营业许可经营范围必须含有本项目。</w:t>
      </w:r>
    </w:p>
    <w:p>
      <w:pPr>
        <w:pStyle w:val="7"/>
        <w:numPr>
          <w:ilvl w:val="0"/>
          <w:numId w:val="1"/>
        </w:numPr>
        <w:spacing w:line="360" w:lineRule="auto"/>
        <w:ind w:firstLineChars="0"/>
        <w:rPr>
          <w:rFonts w:ascii="仿宋" w:hAnsi="仿宋" w:eastAsia="仿宋"/>
          <w:sz w:val="24"/>
        </w:rPr>
      </w:pPr>
      <w:r>
        <w:rPr>
          <w:rFonts w:hint="eastAsia" w:ascii="仿宋" w:hAnsi="仿宋" w:eastAsia="仿宋"/>
          <w:sz w:val="24"/>
        </w:rPr>
        <w:t>投标人必须具有有效期内的安全生产许可证。</w:t>
      </w:r>
    </w:p>
    <w:p>
      <w:pPr>
        <w:spacing w:line="360" w:lineRule="auto"/>
        <w:rPr>
          <w:rFonts w:ascii="仿宋" w:hAnsi="仿宋" w:eastAsia="仿宋"/>
          <w:sz w:val="24"/>
        </w:rPr>
      </w:pPr>
      <w:r>
        <w:rPr>
          <w:rFonts w:hint="eastAsia" w:ascii="仿宋" w:hAnsi="仿宋" w:eastAsia="仿宋"/>
          <w:sz w:val="24"/>
        </w:rPr>
        <w:t>4、投标人必须</w:t>
      </w:r>
      <w:r>
        <w:rPr>
          <w:rFonts w:hint="eastAsia" w:ascii="仿宋" w:hAnsi="仿宋" w:eastAsia="仿宋" w:cs="宋体"/>
          <w:sz w:val="24"/>
        </w:rPr>
        <w:t>具有履行合同所必需的设备和专业技术能力。</w:t>
      </w:r>
    </w:p>
    <w:p>
      <w:pPr>
        <w:tabs>
          <w:tab w:val="left" w:pos="525"/>
          <w:tab w:val="left" w:pos="630"/>
          <w:tab w:val="left" w:pos="840"/>
          <w:tab w:val="left" w:pos="1004"/>
          <w:tab w:val="left" w:pos="1287"/>
        </w:tabs>
        <w:spacing w:line="360" w:lineRule="auto"/>
        <w:rPr>
          <w:rFonts w:ascii="仿宋" w:hAnsi="仿宋" w:eastAsia="仿宋" w:cs="Tahoma"/>
          <w:kern w:val="28"/>
          <w:sz w:val="24"/>
        </w:rPr>
      </w:pPr>
      <w:r>
        <w:rPr>
          <w:rFonts w:hint="eastAsia" w:ascii="仿宋" w:hAnsi="仿宋" w:eastAsia="仿宋" w:cs="Tahoma"/>
          <w:kern w:val="28"/>
          <w:sz w:val="24"/>
        </w:rPr>
        <w:t>5、</w:t>
      </w:r>
      <w:r>
        <w:rPr>
          <w:rFonts w:hint="eastAsia" w:ascii="仿宋" w:hAnsi="仿宋" w:eastAsia="仿宋"/>
          <w:sz w:val="24"/>
        </w:rPr>
        <w:t>单位</w:t>
      </w:r>
      <w:r>
        <w:rPr>
          <w:rFonts w:hint="eastAsia" w:ascii="仿宋" w:hAnsi="仿宋" w:eastAsia="仿宋"/>
          <w:sz w:val="24"/>
          <w:lang w:val="zh-CN"/>
        </w:rPr>
        <w:t>负责人</w:t>
      </w:r>
      <w:r>
        <w:rPr>
          <w:rFonts w:hint="eastAsia" w:ascii="仿宋" w:hAnsi="仿宋" w:eastAsia="仿宋"/>
          <w:sz w:val="24"/>
        </w:rPr>
        <w:t>为同一人或者存在直接控股、管理关系的不同供应商，不得参加同一合同项下的采购活动 。</w:t>
      </w:r>
    </w:p>
    <w:p>
      <w:pPr>
        <w:spacing w:line="360" w:lineRule="auto"/>
        <w:rPr>
          <w:rFonts w:ascii="仿宋" w:hAnsi="仿宋" w:eastAsia="仿宋"/>
          <w:sz w:val="24"/>
        </w:rPr>
      </w:pPr>
      <w:r>
        <w:rPr>
          <w:rFonts w:hint="eastAsia" w:ascii="仿宋" w:hAnsi="仿宋" w:eastAsia="仿宋"/>
          <w:sz w:val="24"/>
        </w:rPr>
        <w:t>6、投标人必须具有履行合同所必需的设备和专业技术能力。</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7、信用要求：</w:t>
      </w:r>
    </w:p>
    <w:p>
      <w:pPr>
        <w:autoSpaceDE w:val="0"/>
        <w:autoSpaceDN w:val="0"/>
        <w:spacing w:line="360" w:lineRule="auto"/>
        <w:rPr>
          <w:rFonts w:ascii="仿宋" w:hAnsi="仿宋" w:eastAsia="仿宋"/>
          <w:sz w:val="24"/>
          <w:lang w:val="zh-CN"/>
        </w:rPr>
      </w:pPr>
      <w:r>
        <w:rPr>
          <w:rFonts w:hint="eastAsia" w:ascii="仿宋" w:hAnsi="仿宋" w:eastAsia="仿宋"/>
          <w:sz w:val="24"/>
        </w:rPr>
        <w:t>7</w:t>
      </w:r>
      <w:r>
        <w:rPr>
          <w:rFonts w:hint="eastAsia" w:ascii="仿宋" w:hAnsi="仿宋" w:eastAsia="仿宋"/>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rPr>
        <w:t>7</w:t>
      </w:r>
      <w:r>
        <w:rPr>
          <w:rFonts w:hint="eastAsia" w:ascii="仿宋" w:hAnsi="仿宋" w:eastAsia="仿宋"/>
          <w:sz w:val="24"/>
          <w:lang w:val="zh-CN"/>
        </w:rPr>
        <w:t>.2投标方需提供通过“信用中国”网站（www.creditchina.gov.cn）、中国政府采购网（www.ccgp.gov.cn）等渠道查询的信用信息查询记录网络截图件并加盖投标方公章。</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8、应具备《政府采购法》第二十二条规定的条件；</w:t>
      </w:r>
    </w:p>
    <w:bookmarkEnd w:id="0"/>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八</w:t>
      </w:r>
      <w:r>
        <w:rPr>
          <w:rFonts w:hint="eastAsia" w:ascii="仿宋" w:hAnsi="仿宋" w:eastAsia="仿宋"/>
          <w:sz w:val="24"/>
          <w:lang w:val="zh-CN"/>
        </w:rPr>
        <w:t>、调研时间：202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8</w:t>
      </w:r>
      <w:r>
        <w:rPr>
          <w:rFonts w:hint="eastAsia" w:ascii="仿宋" w:hAnsi="仿宋" w:eastAsia="仿宋"/>
          <w:sz w:val="24"/>
          <w:lang w:val="zh-CN"/>
        </w:rPr>
        <w:t>月</w:t>
      </w:r>
      <w:r>
        <w:rPr>
          <w:rFonts w:hint="eastAsia" w:ascii="仿宋" w:hAnsi="仿宋" w:eastAsia="仿宋"/>
          <w:sz w:val="24"/>
          <w:lang w:val="en-US" w:eastAsia="zh-CN"/>
        </w:rPr>
        <w:t>22</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8</w:t>
      </w:r>
      <w:r>
        <w:rPr>
          <w:rFonts w:hint="eastAsia" w:ascii="仿宋" w:hAnsi="仿宋" w:eastAsia="仿宋"/>
          <w:sz w:val="24"/>
          <w:lang w:val="zh-CN"/>
        </w:rPr>
        <w:t>月</w:t>
      </w:r>
      <w:r>
        <w:rPr>
          <w:rFonts w:hint="eastAsia" w:ascii="仿宋" w:hAnsi="仿宋" w:eastAsia="仿宋"/>
          <w:sz w:val="24"/>
          <w:lang w:val="en-US" w:eastAsia="zh-CN"/>
        </w:rPr>
        <w:t>28</w:t>
      </w:r>
      <w:r>
        <w:rPr>
          <w:rFonts w:hint="eastAsia" w:ascii="仿宋" w:hAnsi="仿宋" w:eastAsia="仿宋"/>
          <w:sz w:val="24"/>
          <w:lang w:val="zh-CN"/>
        </w:rPr>
        <w:t>日</w:t>
      </w:r>
    </w:p>
    <w:p>
      <w:pPr>
        <w:autoSpaceDE w:val="0"/>
        <w:autoSpaceDN w:val="0"/>
        <w:spacing w:line="360" w:lineRule="auto"/>
        <w:rPr>
          <w:rFonts w:hint="eastAsia" w:ascii="仿宋" w:hAnsi="仿宋" w:eastAsia="仿宋" w:cs="仿宋"/>
          <w:sz w:val="24"/>
          <w:szCs w:val="24"/>
          <w:lang w:val="zh-CN"/>
        </w:rPr>
      </w:pPr>
      <w:r>
        <w:rPr>
          <w:rFonts w:hint="eastAsia" w:ascii="仿宋" w:hAnsi="仿宋" w:eastAsia="仿宋"/>
          <w:sz w:val="24"/>
          <w:lang w:val="en-US" w:eastAsia="zh-CN"/>
        </w:rPr>
        <w:t>九</w:t>
      </w:r>
      <w:r>
        <w:rPr>
          <w:rFonts w:hint="eastAsia" w:ascii="仿宋" w:hAnsi="仿宋" w:eastAsia="仿宋"/>
          <w:sz w:val="24"/>
          <w:lang w:val="zh-CN"/>
        </w:rPr>
        <w:t>、提交调研成果文件时间及地点：参与人应于202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8</w:t>
      </w:r>
      <w:r>
        <w:rPr>
          <w:rFonts w:hint="eastAsia" w:ascii="仿宋" w:hAnsi="仿宋" w:eastAsia="仿宋"/>
          <w:sz w:val="24"/>
          <w:lang w:val="zh-CN"/>
        </w:rPr>
        <w:t>月</w:t>
      </w:r>
      <w:r>
        <w:rPr>
          <w:rFonts w:hint="eastAsia" w:ascii="仿宋" w:hAnsi="仿宋" w:eastAsia="仿宋"/>
          <w:sz w:val="24"/>
          <w:lang w:val="en-US" w:eastAsia="zh-CN"/>
        </w:rPr>
        <w:t>28</w:t>
      </w:r>
      <w:r>
        <w:rPr>
          <w:rFonts w:hint="eastAsia" w:ascii="仿宋" w:hAnsi="仿宋" w:eastAsia="仿宋"/>
          <w:sz w:val="24"/>
          <w:lang w:val="zh-CN"/>
        </w:rPr>
        <w:t>日17：30时前</w:t>
      </w:r>
      <w:r>
        <w:rPr>
          <w:rFonts w:hint="eastAsia" w:ascii="仿宋" w:hAnsi="仿宋" w:eastAsia="仿宋" w:cs="仿宋"/>
          <w:sz w:val="24"/>
          <w:lang w:val="zh-CN"/>
        </w:rPr>
        <w:t>（</w:t>
      </w:r>
      <w:r>
        <w:rPr>
          <w:rFonts w:hint="eastAsia" w:ascii="仿宋" w:hAnsi="仿宋" w:eastAsia="仿宋" w:cs="仿宋"/>
          <w:sz w:val="24"/>
          <w:szCs w:val="24"/>
        </w:rPr>
        <w:t>用信封装好并密封好</w:t>
      </w:r>
      <w:r>
        <w:rPr>
          <w:rFonts w:hint="eastAsia" w:ascii="仿宋" w:hAnsi="仿宋" w:eastAsia="仿宋" w:cs="仿宋"/>
          <w:sz w:val="24"/>
          <w:szCs w:val="24"/>
          <w:lang w:val="en-US" w:eastAsia="zh-CN"/>
        </w:rPr>
        <w:t>调研结果）</w:t>
      </w:r>
      <w:r>
        <w:rPr>
          <w:rFonts w:hint="eastAsia" w:ascii="仿宋" w:hAnsi="仿宋" w:eastAsia="仿宋" w:cs="仿宋"/>
          <w:sz w:val="24"/>
          <w:szCs w:val="24"/>
          <w:lang w:val="zh-CN"/>
        </w:rPr>
        <w:t>到</w:t>
      </w:r>
      <w:r>
        <w:rPr>
          <w:rFonts w:hint="eastAsia" w:ascii="仿宋" w:hAnsi="仿宋" w:eastAsia="仿宋" w:cs="仿宋"/>
          <w:sz w:val="24"/>
          <w:szCs w:val="24"/>
        </w:rPr>
        <w:t>广州市海珠区江南大道南368号连州楼3楼总务科</w:t>
      </w:r>
      <w:r>
        <w:rPr>
          <w:rFonts w:hint="eastAsia" w:ascii="仿宋" w:hAnsi="仿宋" w:eastAsia="仿宋" w:cs="仿宋"/>
          <w:sz w:val="24"/>
          <w:szCs w:val="24"/>
          <w:lang w:val="zh-CN"/>
        </w:rPr>
        <w:t>提交项目市场调研响应文件，过时将不再受理。</w:t>
      </w:r>
    </w:p>
    <w:p>
      <w:pPr>
        <w:rPr>
          <w:rFonts w:hint="eastAsia" w:ascii="仿宋" w:hAnsi="仿宋" w:eastAsia="仿宋" w:cs="仿宋"/>
          <w:sz w:val="24"/>
          <w:szCs w:val="24"/>
          <w:lang w:val="en-US" w:eastAsia="zh-CN"/>
        </w:rPr>
      </w:pPr>
    </w:p>
    <w:p>
      <w:pPr>
        <w:ind w:firstLine="720" w:firstLineChars="300"/>
        <w:rPr>
          <w:rFonts w:hint="eastAsia" w:ascii="仿宋" w:hAnsi="仿宋" w:eastAsia="仿宋" w:cs="仿宋"/>
          <w:sz w:val="24"/>
          <w:szCs w:val="24"/>
        </w:rPr>
      </w:pPr>
      <w:r>
        <w:rPr>
          <w:rFonts w:hint="eastAsia" w:ascii="仿宋" w:hAnsi="仿宋" w:eastAsia="仿宋" w:cs="仿宋"/>
          <w:sz w:val="24"/>
          <w:szCs w:val="24"/>
        </w:rPr>
        <w:t>联系部门：总务科</w:t>
      </w:r>
    </w:p>
    <w:p>
      <w:pPr>
        <w:rPr>
          <w:rFonts w:hint="eastAsia" w:ascii="仿宋" w:hAnsi="仿宋" w:eastAsia="仿宋" w:cs="仿宋"/>
          <w:sz w:val="24"/>
          <w:szCs w:val="24"/>
        </w:rPr>
      </w:pPr>
    </w:p>
    <w:p>
      <w:pPr>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rPr>
        <w:t>联系人：刘</w:t>
      </w:r>
      <w:r>
        <w:rPr>
          <w:rFonts w:hint="eastAsia" w:ascii="仿宋" w:hAnsi="仿宋" w:eastAsia="仿宋" w:cs="仿宋"/>
          <w:sz w:val="24"/>
          <w:szCs w:val="24"/>
          <w:lang w:val="en-US" w:eastAsia="zh-CN"/>
        </w:rPr>
        <w:t>工</w:t>
      </w:r>
    </w:p>
    <w:p>
      <w:pPr>
        <w:rPr>
          <w:rFonts w:hint="eastAsia" w:ascii="仿宋" w:hAnsi="仿宋" w:eastAsia="仿宋" w:cs="仿宋"/>
          <w:sz w:val="24"/>
          <w:szCs w:val="24"/>
          <w:lang w:val="en-US" w:eastAsia="zh-CN"/>
        </w:rPr>
      </w:pPr>
    </w:p>
    <w:p>
      <w:pPr>
        <w:ind w:firstLine="720" w:firstLineChars="300"/>
        <w:rPr>
          <w:rFonts w:hint="eastAsia" w:ascii="仿宋" w:hAnsi="仿宋" w:eastAsia="仿宋" w:cs="仿宋"/>
          <w:sz w:val="24"/>
          <w:szCs w:val="24"/>
        </w:rPr>
      </w:pPr>
      <w:r>
        <w:rPr>
          <w:rFonts w:hint="eastAsia" w:ascii="仿宋" w:hAnsi="仿宋" w:eastAsia="仿宋" w:cs="仿宋"/>
          <w:sz w:val="24"/>
          <w:szCs w:val="24"/>
        </w:rPr>
        <w:t>联系电话：020-84427043</w:t>
      </w:r>
    </w:p>
    <w:p>
      <w:pPr>
        <w:spacing w:line="360" w:lineRule="auto"/>
        <w:rPr>
          <w:rFonts w:hint="eastAsia" w:ascii="仿宋" w:hAnsi="仿宋" w:eastAsia="仿宋"/>
          <w:sz w:val="24"/>
          <w:lang w:val="en-US" w:eastAsia="zh-CN"/>
        </w:rPr>
      </w:pPr>
      <w:r>
        <w:rPr>
          <w:rFonts w:hint="eastAsia" w:ascii="仿宋" w:hAnsi="仿宋" w:eastAsia="仿宋"/>
          <w:sz w:val="24"/>
          <w:lang w:val="zh-CN"/>
        </w:rPr>
        <w:t xml:space="preserve">                                     </w:t>
      </w:r>
      <w:r>
        <w:rPr>
          <w:rFonts w:hint="eastAsia" w:ascii="仿宋" w:hAnsi="仿宋" w:eastAsia="仿宋"/>
          <w:sz w:val="24"/>
          <w:lang w:val="en-US" w:eastAsia="zh-CN"/>
        </w:rPr>
        <w:t xml:space="preserve">     总务科</w:t>
      </w:r>
    </w:p>
    <w:p>
      <w:pPr>
        <w:spacing w:line="360" w:lineRule="auto"/>
        <w:rPr>
          <w:rFonts w:hint="eastAsia" w:ascii="仿宋" w:hAnsi="仿宋" w:eastAsia="仿宋"/>
          <w:b/>
          <w:bCs/>
          <w:spacing w:val="26"/>
          <w:sz w:val="44"/>
          <w:szCs w:val="44"/>
        </w:rPr>
      </w:pPr>
      <w:r>
        <w:rPr>
          <w:rFonts w:hint="eastAsia" w:ascii="仿宋" w:hAnsi="仿宋" w:eastAsia="仿宋"/>
          <w:sz w:val="24"/>
          <w:lang w:val="zh-CN"/>
        </w:rPr>
        <w:t xml:space="preserve">                                     </w:t>
      </w:r>
      <w:r>
        <w:rPr>
          <w:rFonts w:ascii="仿宋" w:hAnsi="仿宋" w:eastAsia="仿宋"/>
          <w:sz w:val="24"/>
          <w:lang w:val="zh-CN"/>
        </w:rPr>
        <w:t>202</w:t>
      </w:r>
      <w:r>
        <w:rPr>
          <w:rFonts w:hint="eastAsia" w:ascii="仿宋" w:hAnsi="仿宋" w:eastAsia="仿宋"/>
          <w:sz w:val="24"/>
          <w:lang w:val="en-US" w:eastAsia="zh-CN"/>
        </w:rPr>
        <w:t>3</w:t>
      </w:r>
      <w:r>
        <w:rPr>
          <w:rFonts w:ascii="仿宋" w:hAnsi="仿宋" w:eastAsia="仿宋"/>
          <w:sz w:val="24"/>
          <w:lang w:val="zh-CN"/>
        </w:rPr>
        <w:t>年</w:t>
      </w:r>
      <w:r>
        <w:rPr>
          <w:rFonts w:hint="eastAsia" w:ascii="仿宋" w:hAnsi="仿宋" w:eastAsia="仿宋"/>
          <w:sz w:val="24"/>
          <w:lang w:val="en-US" w:eastAsia="zh-CN"/>
        </w:rPr>
        <w:t>8</w:t>
      </w:r>
      <w:r>
        <w:rPr>
          <w:rFonts w:ascii="仿宋" w:hAnsi="仿宋" w:eastAsia="仿宋"/>
          <w:sz w:val="24"/>
          <w:lang w:val="zh-CN"/>
        </w:rPr>
        <w:t>月</w:t>
      </w:r>
      <w:r>
        <w:rPr>
          <w:rFonts w:hint="eastAsia" w:ascii="仿宋" w:hAnsi="仿宋" w:eastAsia="仿宋"/>
          <w:sz w:val="24"/>
          <w:lang w:val="en-US" w:eastAsia="zh-CN"/>
        </w:rPr>
        <w:t>21</w:t>
      </w:r>
      <w:r>
        <w:rPr>
          <w:rFonts w:ascii="仿宋" w:hAnsi="仿宋" w:eastAsia="仿宋"/>
          <w:sz w:val="24"/>
          <w:lang w:val="zh-CN"/>
        </w:rPr>
        <w:t>日</w:t>
      </w:r>
    </w:p>
    <w:p>
      <w:pPr>
        <w:tabs>
          <w:tab w:val="left" w:pos="720"/>
        </w:tabs>
        <w:spacing w:line="360" w:lineRule="auto"/>
        <w:jc w:val="center"/>
        <w:rPr>
          <w:rFonts w:ascii="仿宋" w:hAnsi="仿宋" w:eastAsia="仿宋"/>
          <w:b/>
          <w:bCs/>
          <w:spacing w:val="26"/>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04FE2"/>
    <w:multiLevelType w:val="multilevel"/>
    <w:tmpl w:val="19E04FE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4OTkxNDE3ZDI0MjcwMjMwOGFjNzFhMDdiZmE4YzgifQ=="/>
  </w:docVars>
  <w:rsids>
    <w:rsidRoot w:val="00040031"/>
    <w:rsid w:val="0000670B"/>
    <w:rsid w:val="00040031"/>
    <w:rsid w:val="000B3023"/>
    <w:rsid w:val="0013013A"/>
    <w:rsid w:val="00163734"/>
    <w:rsid w:val="001A3E5B"/>
    <w:rsid w:val="00213576"/>
    <w:rsid w:val="0028151C"/>
    <w:rsid w:val="002A6D1E"/>
    <w:rsid w:val="003074F5"/>
    <w:rsid w:val="00310E2A"/>
    <w:rsid w:val="003C5897"/>
    <w:rsid w:val="004369AE"/>
    <w:rsid w:val="00447089"/>
    <w:rsid w:val="004C6397"/>
    <w:rsid w:val="004D0A13"/>
    <w:rsid w:val="004D647A"/>
    <w:rsid w:val="00572BDD"/>
    <w:rsid w:val="00575694"/>
    <w:rsid w:val="00601751"/>
    <w:rsid w:val="00614531"/>
    <w:rsid w:val="00637EA4"/>
    <w:rsid w:val="006C6D46"/>
    <w:rsid w:val="007256C1"/>
    <w:rsid w:val="00727453"/>
    <w:rsid w:val="00743C04"/>
    <w:rsid w:val="00776BC6"/>
    <w:rsid w:val="007A44CD"/>
    <w:rsid w:val="007B0676"/>
    <w:rsid w:val="00807B29"/>
    <w:rsid w:val="00813F16"/>
    <w:rsid w:val="00867488"/>
    <w:rsid w:val="009201E5"/>
    <w:rsid w:val="00932F8C"/>
    <w:rsid w:val="00970200"/>
    <w:rsid w:val="0097622C"/>
    <w:rsid w:val="0098080D"/>
    <w:rsid w:val="009B05C4"/>
    <w:rsid w:val="009C7478"/>
    <w:rsid w:val="00A10475"/>
    <w:rsid w:val="00A11EA3"/>
    <w:rsid w:val="00A508F9"/>
    <w:rsid w:val="00AC2393"/>
    <w:rsid w:val="00AD774A"/>
    <w:rsid w:val="00B179EB"/>
    <w:rsid w:val="00B76512"/>
    <w:rsid w:val="00BA0794"/>
    <w:rsid w:val="00BB1FAF"/>
    <w:rsid w:val="00BE149A"/>
    <w:rsid w:val="00BF54F7"/>
    <w:rsid w:val="00C00D80"/>
    <w:rsid w:val="00C75A87"/>
    <w:rsid w:val="00C87036"/>
    <w:rsid w:val="00C96563"/>
    <w:rsid w:val="00CD5896"/>
    <w:rsid w:val="00D24B04"/>
    <w:rsid w:val="00E11999"/>
    <w:rsid w:val="00F27FAA"/>
    <w:rsid w:val="00F7277F"/>
    <w:rsid w:val="00F932F3"/>
    <w:rsid w:val="00F9372A"/>
    <w:rsid w:val="00FA256D"/>
    <w:rsid w:val="07B571C1"/>
    <w:rsid w:val="0C403756"/>
    <w:rsid w:val="282B4E63"/>
    <w:rsid w:val="2D275A28"/>
    <w:rsid w:val="335C12AF"/>
    <w:rsid w:val="347533D5"/>
    <w:rsid w:val="39791C4D"/>
    <w:rsid w:val="42334BE8"/>
    <w:rsid w:val="439A7B07"/>
    <w:rsid w:val="44AB315B"/>
    <w:rsid w:val="56505911"/>
    <w:rsid w:val="58D26AB1"/>
    <w:rsid w:val="66052C72"/>
    <w:rsid w:val="6B517D09"/>
    <w:rsid w:val="7847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uiPriority w:val="99"/>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semiHidden/>
    <w:uiPriority w:val="99"/>
    <w:rPr>
      <w:rFonts w:ascii="Times New Roman" w:hAnsi="Times New Roman" w:eastAsia="宋体" w:cs="Times New Roman"/>
      <w:szCs w:val="24"/>
    </w:rPr>
  </w:style>
  <w:style w:type="character" w:customStyle="1" w:styleId="11">
    <w:name w:val="font71"/>
    <w:basedOn w:val="6"/>
    <w:uiPriority w:val="0"/>
    <w:rPr>
      <w:rFonts w:hint="eastAsia" w:ascii="宋体" w:hAnsi="宋体" w:eastAsia="宋体" w:cs="宋体"/>
      <w:color w:val="000000"/>
      <w:sz w:val="24"/>
      <w:szCs w:val="24"/>
      <w:u w:val="none"/>
    </w:rPr>
  </w:style>
  <w:style w:type="character" w:customStyle="1" w:styleId="12">
    <w:name w:val="font121"/>
    <w:basedOn w:val="6"/>
    <w:uiPriority w:val="0"/>
    <w:rPr>
      <w:rFonts w:hint="eastAsia" w:ascii="宋体" w:hAnsi="宋体" w:eastAsia="宋体" w:cs="宋体"/>
      <w:color w:val="000000"/>
      <w:sz w:val="24"/>
      <w:szCs w:val="24"/>
      <w:u w:val="none"/>
    </w:rPr>
  </w:style>
  <w:style w:type="character" w:customStyle="1" w:styleId="13">
    <w:name w:val="font81"/>
    <w:basedOn w:val="6"/>
    <w:uiPriority w:val="0"/>
    <w:rPr>
      <w:rFonts w:hint="eastAsia" w:ascii="宋体" w:hAnsi="宋体" w:eastAsia="宋体" w:cs="宋体"/>
      <w:color w:val="000000"/>
      <w:sz w:val="24"/>
      <w:szCs w:val="24"/>
      <w:u w:val="none"/>
    </w:rPr>
  </w:style>
  <w:style w:type="character" w:customStyle="1" w:styleId="14">
    <w:name w:val="font131"/>
    <w:basedOn w:val="6"/>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4329</Words>
  <Characters>5721</Characters>
  <Lines>13</Lines>
  <Paragraphs>3</Paragraphs>
  <TotalTime>44</TotalTime>
  <ScaleCrop>false</ScaleCrop>
  <LinksUpToDate>false</LinksUpToDate>
  <CharactersWithSpaces>7460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2020-11-23T04:26:00Z</dcterms:created>
  <dc:creator>huang hanguo</dc:creator>
  <cp:lastModifiedBy>CBZ-CTF</cp:lastModifiedBy>
  <dcterms:modified xsi:type="dcterms:W3CDTF">2023-08-21T02:55:41Z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90106D9E48264CA9B7A751714BCA185A_12</vt:lpwstr>
  </property>
</Properties>
</file>