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南方医科大学口腔医院盘福院区特诊室门口叫号系统及相关设备</w:t>
      </w:r>
      <w:r>
        <w:t>市场调研</w:t>
      </w:r>
      <w:r>
        <w:rPr>
          <w:rFonts w:hint="eastAsia"/>
        </w:rPr>
        <w:t>函（三）</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我院拟了解设备的市场动态情况，现邀请有意向的设备生产企业或经营企业根据我院对产品的配置要求推荐产品。参与办法如下：</w:t>
      </w:r>
    </w:p>
    <w:p>
      <w:pPr>
        <w:numPr>
          <w:ilvl w:val="0"/>
          <w:numId w:val="1"/>
        </w:numPr>
        <w:rPr>
          <w:rFonts w:asciiTheme="minorEastAsia" w:hAnsiTheme="minorEastAsia"/>
          <w:sz w:val="28"/>
          <w:szCs w:val="28"/>
        </w:rPr>
      </w:pPr>
      <w:r>
        <w:rPr>
          <w:rStyle w:val="10"/>
          <w:rFonts w:hint="eastAsia" w:cs="宋体" w:asciiTheme="minorEastAsia" w:hAnsiTheme="minorEastAsia"/>
          <w:color w:val="333333"/>
          <w:sz w:val="28"/>
          <w:szCs w:val="28"/>
          <w:shd w:val="clear" w:color="auto" w:fill="FFFFFF"/>
        </w:rPr>
        <w:t>项目编号：NKY</w:t>
      </w:r>
      <w:r>
        <w:rPr>
          <w:rFonts w:hint="eastAsia" w:cs="Times New Roman" w:asciiTheme="minorEastAsia" w:hAnsiTheme="minorEastAsia"/>
          <w:sz w:val="28"/>
          <w:szCs w:val="28"/>
          <w:shd w:val="clear" w:color="auto" w:fill="FFFFFF"/>
        </w:rPr>
        <w:t>20230706024（</w:t>
      </w:r>
      <w:r>
        <w:rPr>
          <w:rFonts w:cs="Times New Roman" w:asciiTheme="minorEastAsia" w:hAnsiTheme="minorEastAsia"/>
          <w:sz w:val="28"/>
          <w:szCs w:val="28"/>
          <w:shd w:val="clear" w:color="auto" w:fill="FFFFFF"/>
        </w:rPr>
        <w:t>117412</w:t>
      </w:r>
      <w:r>
        <w:rPr>
          <w:rFonts w:hint="eastAsia" w:cs="Times New Roman" w:asciiTheme="minorEastAsia" w:hAnsiTheme="minorEastAsia"/>
          <w:sz w:val="28"/>
          <w:szCs w:val="28"/>
          <w:shd w:val="clear" w:color="auto" w:fill="FFFFFF"/>
        </w:rPr>
        <w:t>）</w:t>
      </w:r>
    </w:p>
    <w:p>
      <w:pPr>
        <w:rPr>
          <w:rFonts w:asciiTheme="minorEastAsia" w:hAnsiTheme="minorEastAsia"/>
          <w:sz w:val="28"/>
          <w:szCs w:val="28"/>
        </w:rPr>
      </w:pPr>
      <w:r>
        <w:rPr>
          <w:rStyle w:val="10"/>
          <w:rFonts w:hint="eastAsia" w:cs="Times New Roman" w:asciiTheme="minorEastAsia" w:hAnsiTheme="minorEastAsia"/>
          <w:color w:val="333333"/>
          <w:sz w:val="28"/>
          <w:szCs w:val="28"/>
          <w:shd w:val="clear" w:color="auto" w:fill="FFFFFF"/>
        </w:rPr>
        <w:t>二</w:t>
      </w:r>
      <w:r>
        <w:rPr>
          <w:rStyle w:val="10"/>
          <w:rFonts w:cs="Times New Roman" w:asciiTheme="minorEastAsia" w:hAnsiTheme="minorEastAsia"/>
          <w:color w:val="333333"/>
          <w:sz w:val="28"/>
          <w:szCs w:val="28"/>
          <w:shd w:val="clear" w:color="auto" w:fill="FFFFFF"/>
        </w:rPr>
        <w:t>、</w:t>
      </w:r>
      <w:r>
        <w:rPr>
          <w:rStyle w:val="10"/>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公告发起之日起</w:t>
      </w:r>
      <w:r>
        <w:rPr>
          <w:rFonts w:hint="eastAsia" w:cs="Times New Roman" w:asciiTheme="minorEastAsia" w:hAnsiTheme="minorEastAsia"/>
          <w:sz w:val="28"/>
          <w:szCs w:val="28"/>
          <w:shd w:val="clear" w:color="auto" w:fill="FFFFFF"/>
        </w:rPr>
        <w:t>至2023年8月17日17:00</w:t>
      </w:r>
      <w:r>
        <w:rPr>
          <w:rFonts w:hint="eastAsia" w:asciiTheme="minorEastAsia" w:hAnsiTheme="minorEastAsia"/>
          <w:sz w:val="28"/>
          <w:szCs w:val="28"/>
          <w:shd w:val="clear" w:color="auto" w:fill="FFFFFF"/>
        </w:rPr>
        <w:t>。</w:t>
      </w:r>
    </w:p>
    <w:p>
      <w:pPr>
        <w:jc w:val="left"/>
        <w:rPr>
          <w:rFonts w:asciiTheme="minorEastAsia" w:hAnsiTheme="minorEastAsia"/>
          <w:b/>
          <w:bCs/>
          <w:sz w:val="28"/>
          <w:szCs w:val="28"/>
          <w:shd w:val="clear" w:color="auto" w:fill="FFFFFF"/>
        </w:rPr>
      </w:pPr>
      <w:r>
        <w:rPr>
          <w:rFonts w:cs="Times New Roman" w:asciiTheme="minorEastAsia" w:hAnsiTheme="minorEastAsia"/>
          <w:sz w:val="28"/>
          <w:szCs w:val="28"/>
          <w:shd w:val="clear" w:color="auto" w:fill="FFFFFF"/>
        </w:rPr>
        <w:t>三、</w:t>
      </w:r>
      <w:r>
        <w:rPr>
          <w:rStyle w:val="10"/>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b/>
          <w:bCs/>
          <w:sz w:val="28"/>
          <w:szCs w:val="28"/>
          <w:shd w:val="clear" w:color="auto" w:fill="FFFFFF"/>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sz w:val="28"/>
          <w:szCs w:val="28"/>
          <w:shd w:val="clear" w:color="auto" w:fill="FFFFFF"/>
        </w:rPr>
        <w:t>（</w:t>
      </w:r>
      <w:r>
        <w:rPr>
          <w:rFonts w:cs="Times New Roman" w:asciiTheme="minorEastAsia" w:hAnsiTheme="minorEastAsia"/>
          <w:b/>
          <w:bCs/>
          <w:sz w:val="28"/>
          <w:szCs w:val="28"/>
          <w:shd w:val="clear" w:color="auto" w:fill="FFFFFF"/>
        </w:rPr>
        <w:t>PDF</w:t>
      </w:r>
      <w:r>
        <w:rPr>
          <w:rFonts w:hint="eastAsia" w:asciiTheme="minorEastAsia" w:hAnsiTheme="minorEastAsia"/>
          <w:b/>
          <w:bCs/>
          <w:sz w:val="28"/>
          <w:szCs w:val="28"/>
          <w:shd w:val="clear" w:color="auto" w:fill="FFFFFF"/>
        </w:rPr>
        <w:t>文件，且小于</w:t>
      </w:r>
      <w:r>
        <w:rPr>
          <w:rFonts w:cs="Times New Roman" w:asciiTheme="minorEastAsia" w:hAnsiTheme="minorEastAsia"/>
          <w:b/>
          <w:bCs/>
          <w:sz w:val="28"/>
          <w:szCs w:val="28"/>
          <w:shd w:val="clear" w:color="auto" w:fill="FFFFFF"/>
        </w:rPr>
        <w:t>20MB</w:t>
      </w:r>
      <w:r>
        <w:rPr>
          <w:rFonts w:hint="eastAsia" w:asciiTheme="minorEastAsia" w:hAnsiTheme="minorEastAsia"/>
          <w:b/>
          <w:bCs/>
          <w:sz w:val="28"/>
          <w:szCs w:val="28"/>
          <w:shd w:val="clear" w:color="auto" w:fill="FFFFFF"/>
        </w:rPr>
        <w:t>），打包压缩（文件夹命名规则：</w:t>
      </w:r>
      <w:r>
        <w:fldChar w:fldCharType="begin"/>
      </w:r>
      <w:r>
        <w:instrText xml:space="preserve"> HYPERLINK "mailto:项目名称+品牌型号+供应商名称）发至邮箱（nykqsbk@126.com）" </w:instrText>
      </w:r>
      <w:r>
        <w:fldChar w:fldCharType="separate"/>
      </w:r>
      <w:r>
        <w:rPr>
          <w:rStyle w:val="11"/>
          <w:rFonts w:hint="eastAsia" w:asciiTheme="minorEastAsia" w:hAnsiTheme="minorEastAsia"/>
          <w:b/>
          <w:bCs/>
          <w:color w:val="auto"/>
          <w:sz w:val="28"/>
          <w:szCs w:val="28"/>
          <w:u w:val="none"/>
          <w:shd w:val="clear" w:color="auto" w:fill="FFFFFF"/>
        </w:rPr>
        <w:t>项目名称</w:t>
      </w:r>
      <w:r>
        <w:rPr>
          <w:rStyle w:val="11"/>
          <w:rFonts w:hint="eastAsia" w:cs="Times New Roman" w:asciiTheme="minorEastAsia" w:hAnsiTheme="minorEastAsia"/>
          <w:b/>
          <w:bCs/>
          <w:color w:val="auto"/>
          <w:sz w:val="28"/>
          <w:szCs w:val="28"/>
          <w:u w:val="none"/>
          <w:shd w:val="clear" w:color="auto" w:fill="FFFFFF"/>
        </w:rPr>
        <w:t>+</w:t>
      </w:r>
      <w:r>
        <w:rPr>
          <w:rStyle w:val="11"/>
          <w:rFonts w:hint="eastAsia" w:asciiTheme="minorEastAsia" w:hAnsiTheme="minorEastAsia"/>
          <w:b/>
          <w:bCs/>
          <w:color w:val="auto"/>
          <w:sz w:val="28"/>
          <w:szCs w:val="28"/>
          <w:u w:val="none"/>
          <w:shd w:val="clear" w:color="auto" w:fill="FFFFFF"/>
        </w:rPr>
        <w:t>品牌型号</w:t>
      </w:r>
      <w:r>
        <w:rPr>
          <w:rStyle w:val="11"/>
          <w:rFonts w:hint="eastAsia" w:cs="Times New Roman" w:asciiTheme="minorEastAsia" w:hAnsiTheme="minorEastAsia"/>
          <w:b/>
          <w:bCs/>
          <w:color w:val="auto"/>
          <w:sz w:val="28"/>
          <w:szCs w:val="28"/>
          <w:u w:val="none"/>
          <w:shd w:val="clear" w:color="auto" w:fill="FFFFFF"/>
        </w:rPr>
        <w:t>+</w:t>
      </w:r>
      <w:r>
        <w:rPr>
          <w:rStyle w:val="11"/>
          <w:rFonts w:hint="eastAsia" w:asciiTheme="minorEastAsia" w:hAnsiTheme="minorEastAsia"/>
          <w:b/>
          <w:bCs/>
          <w:color w:val="auto"/>
          <w:sz w:val="28"/>
          <w:szCs w:val="28"/>
          <w:u w:val="none"/>
          <w:shd w:val="clear" w:color="auto" w:fill="FFFFFF"/>
        </w:rPr>
        <w:t>供应商名称）发至邮箱</w:t>
      </w:r>
      <w:r>
        <w:rPr>
          <w:rStyle w:val="11"/>
          <w:rFonts w:hint="eastAsia" w:cs="Times New Roman" w:asciiTheme="minorEastAsia" w:hAnsiTheme="minorEastAsia"/>
          <w:b/>
          <w:bCs/>
          <w:color w:val="auto"/>
          <w:sz w:val="28"/>
          <w:szCs w:val="28"/>
          <w:u w:val="none"/>
          <w:shd w:val="clear" w:color="auto" w:fill="FFFFFF"/>
        </w:rPr>
        <w:t>nyk_zwk</w:t>
      </w:r>
      <w:r>
        <w:rPr>
          <w:rStyle w:val="11"/>
          <w:rFonts w:hint="eastAsia" w:cs="Times New Roman" w:asciiTheme="minorEastAsia" w:hAnsiTheme="minorEastAsia"/>
          <w:b/>
          <w:bCs/>
          <w:color w:val="auto"/>
          <w:sz w:val="28"/>
          <w:szCs w:val="28"/>
          <w:u w:val="none"/>
          <w:shd w:val="clear" w:color="auto" w:fill="FFFFFF"/>
        </w:rPr>
        <w:fldChar w:fldCharType="end"/>
      </w:r>
      <w:r>
        <w:rPr>
          <w:rFonts w:hint="eastAsia" w:asciiTheme="minorEastAsia" w:hAnsiTheme="minorEastAsia"/>
          <w:b/>
          <w:bCs/>
          <w:sz w:val="28"/>
          <w:szCs w:val="28"/>
          <w:shd w:val="clear" w:color="auto" w:fill="FFFFFF"/>
        </w:rPr>
        <w:t>@163.com</w:t>
      </w:r>
      <w:bookmarkStart w:id="7" w:name="_GoBack"/>
      <w:bookmarkEnd w:id="7"/>
    </w:p>
    <w:p>
      <w:pPr>
        <w:numPr>
          <w:ilvl w:val="0"/>
          <w:numId w:val="2"/>
        </w:numPr>
        <w:rPr>
          <w:rStyle w:val="10"/>
          <w:sz w:val="28"/>
          <w:szCs w:val="28"/>
        </w:rPr>
      </w:pPr>
      <w:r>
        <w:rPr>
          <w:rStyle w:val="10"/>
          <w:rFonts w:hint="eastAsia"/>
          <w:sz w:val="28"/>
          <w:szCs w:val="28"/>
        </w:rPr>
        <w:t>参数：</w:t>
      </w:r>
      <w:bookmarkStart w:id="0" w:name="_Toc12101"/>
      <w:r>
        <w:rPr>
          <w:rStyle w:val="10"/>
          <w:rFonts w:hint="eastAsia"/>
          <w:sz w:val="28"/>
          <w:szCs w:val="28"/>
        </w:rPr>
        <w:t>（共12个诊位）</w:t>
      </w:r>
    </w:p>
    <w:p>
      <w:pPr>
        <w:rPr>
          <w:b/>
          <w:sz w:val="28"/>
          <w:szCs w:val="28"/>
        </w:rPr>
      </w:pPr>
      <w:r>
        <w:rPr>
          <w:rStyle w:val="10"/>
          <w:rFonts w:hint="eastAsia"/>
          <w:sz w:val="28"/>
          <w:szCs w:val="28"/>
        </w:rPr>
        <w:t>1、</w:t>
      </w:r>
      <w:r>
        <w:rPr>
          <w:rFonts w:hint="eastAsia" w:ascii="宋体" w:hAnsi="宋体" w:eastAsia="宋体" w:cs="宋体"/>
        </w:rPr>
        <w:t>显示参数</w:t>
      </w:r>
      <w:bookmarkEnd w:id="0"/>
    </w:p>
    <w:tbl>
      <w:tblPr>
        <w:tblStyle w:val="7"/>
        <w:tblW w:w="7900"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显示屏尺寸</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21.5英寸（16：9）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显示屏类型</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LED液晶显示屏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画面显示尺寸</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476.64 × 268.11 (H×V)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物理分辨率</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显示色彩</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16.7M , 98% sRGB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刷新率</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亮度</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280cd/m2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对比度</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视角（度）</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89°/89°/89°/89°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显示屏防护</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3mm全钢化高防爆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背光灯寿命</w:t>
            </w:r>
          </w:p>
        </w:tc>
        <w:tc>
          <w:tcPr>
            <w:tcW w:w="5800"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50000小时</w:t>
            </w:r>
          </w:p>
        </w:tc>
      </w:tr>
    </w:tbl>
    <w:p>
      <w:pPr>
        <w:pStyle w:val="3"/>
        <w:rPr>
          <w:rFonts w:ascii="宋体" w:hAnsi="宋体" w:eastAsia="宋体" w:cs="宋体"/>
        </w:rPr>
      </w:pPr>
      <w:bookmarkStart w:id="1" w:name="_Toc658"/>
      <w:r>
        <w:rPr>
          <w:rFonts w:hint="eastAsia" w:ascii="宋体" w:hAnsi="宋体" w:eastAsia="宋体" w:cs="宋体"/>
        </w:rPr>
        <w:t>2、主机参数</w:t>
      </w:r>
      <w:bookmarkEnd w:id="1"/>
    </w:p>
    <w:tbl>
      <w:tblPr>
        <w:tblStyle w:val="7"/>
        <w:tblW w:w="7912"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工控主机</w:t>
            </w:r>
          </w:p>
        </w:tc>
        <w:tc>
          <w:tcPr>
            <w:tcW w:w="5812" w:type="dxa"/>
            <w:vAlign w:val="center"/>
          </w:tcPr>
          <w:p>
            <w:pPr>
              <w:autoSpaceDE w:val="0"/>
              <w:autoSpaceDN w:val="0"/>
              <w:adjustRightInd w:val="0"/>
              <w:rPr>
                <w:rFonts w:ascii="宋体" w:hAnsi="宋体" w:cs="宋体"/>
              </w:rPr>
            </w:pPr>
            <w:r>
              <w:rPr>
                <w:rFonts w:hint="eastAsia" w:ascii="宋体" w:hAnsi="宋体" w:cs="宋体"/>
              </w:rPr>
              <w:t>RK3128处理器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CPU</w:t>
            </w:r>
          </w:p>
        </w:tc>
        <w:tc>
          <w:tcPr>
            <w:tcW w:w="5812" w:type="dxa"/>
            <w:vAlign w:val="center"/>
          </w:tcPr>
          <w:p>
            <w:pPr>
              <w:autoSpaceDE w:val="0"/>
              <w:autoSpaceDN w:val="0"/>
              <w:adjustRightInd w:val="0"/>
              <w:rPr>
                <w:rFonts w:ascii="宋体" w:hAnsi="宋体" w:cs="宋体"/>
              </w:rPr>
            </w:pPr>
            <w:r>
              <w:rPr>
                <w:rFonts w:hint="eastAsia" w:ascii="宋体" w:hAnsi="宋体" w:cs="宋体"/>
              </w:rPr>
              <w:t>四核Cortex-A17,频率高达 1.3Ghz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GPU</w:t>
            </w:r>
          </w:p>
        </w:tc>
        <w:tc>
          <w:tcPr>
            <w:tcW w:w="5812" w:type="dxa"/>
            <w:vAlign w:val="center"/>
          </w:tcPr>
          <w:p>
            <w:pPr>
              <w:autoSpaceDE w:val="0"/>
              <w:autoSpaceDN w:val="0"/>
              <w:adjustRightInd w:val="0"/>
              <w:rPr>
                <w:rFonts w:ascii="宋体" w:hAnsi="宋体" w:cs="宋体"/>
              </w:rPr>
            </w:pPr>
            <w:r>
              <w:rPr>
                <w:rFonts w:hint="eastAsia" w:ascii="宋体" w:hAnsi="宋体" w:cs="宋体"/>
              </w:rPr>
              <w:t>GPU:Mali-t764 GPU,支持OpenGL ES1.1/2.0  内嵌高性能2D加速硬件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内存</w:t>
            </w:r>
          </w:p>
        </w:tc>
        <w:tc>
          <w:tcPr>
            <w:tcW w:w="5812" w:type="dxa"/>
            <w:vAlign w:val="center"/>
          </w:tcPr>
          <w:p>
            <w:pPr>
              <w:autoSpaceDE w:val="0"/>
              <w:autoSpaceDN w:val="0"/>
              <w:adjustRightInd w:val="0"/>
              <w:rPr>
                <w:rFonts w:ascii="宋体" w:hAnsi="宋体" w:cs="宋体"/>
              </w:rPr>
            </w:pPr>
            <w:r>
              <w:rPr>
                <w:rFonts w:hint="eastAsia" w:ascii="宋体" w:hAnsi="宋体" w:cs="宋体"/>
              </w:rPr>
              <w:t>DDR- 1G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存储</w:t>
            </w:r>
          </w:p>
        </w:tc>
        <w:tc>
          <w:tcPr>
            <w:tcW w:w="5812" w:type="dxa"/>
            <w:vAlign w:val="center"/>
          </w:tcPr>
          <w:p>
            <w:pPr>
              <w:autoSpaceDE w:val="0"/>
              <w:autoSpaceDN w:val="0"/>
              <w:adjustRightInd w:val="0"/>
              <w:rPr>
                <w:rFonts w:ascii="宋体" w:hAnsi="宋体" w:cs="宋体"/>
              </w:rPr>
            </w:pPr>
            <w:r>
              <w:rPr>
                <w:rFonts w:hint="eastAsia" w:ascii="宋体" w:hAnsi="宋体" w:cs="宋体"/>
              </w:rPr>
              <w:t>硬盘：EMMC-8/16G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通讯接口</w:t>
            </w:r>
          </w:p>
        </w:tc>
        <w:tc>
          <w:tcPr>
            <w:tcW w:w="5812" w:type="dxa"/>
            <w:vAlign w:val="center"/>
          </w:tcPr>
          <w:p>
            <w:pPr>
              <w:autoSpaceDE w:val="0"/>
              <w:autoSpaceDN w:val="0"/>
              <w:adjustRightInd w:val="0"/>
              <w:rPr>
                <w:rFonts w:ascii="宋体" w:hAnsi="宋体" w:cs="宋体"/>
              </w:rPr>
            </w:pPr>
            <w:r>
              <w:rPr>
                <w:rFonts w:hint="eastAsia" w:ascii="宋体" w:hAnsi="宋体" w:cs="宋体"/>
              </w:rPr>
              <w:t>集成百兆以太网控制器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操作系统</w:t>
            </w:r>
          </w:p>
        </w:tc>
        <w:tc>
          <w:tcPr>
            <w:tcW w:w="5812" w:type="dxa"/>
            <w:vAlign w:val="center"/>
          </w:tcPr>
          <w:p>
            <w:pPr>
              <w:autoSpaceDE w:val="0"/>
              <w:autoSpaceDN w:val="0"/>
              <w:adjustRightInd w:val="0"/>
              <w:rPr>
                <w:rFonts w:ascii="宋体" w:hAnsi="宋体" w:cs="宋体"/>
              </w:rPr>
            </w:pPr>
            <w:r>
              <w:rPr>
                <w:rFonts w:hint="eastAsia" w:ascii="宋体" w:hAnsi="宋体" w:cs="宋体"/>
              </w:rPr>
              <w:t>操作系统：Android7.0系统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接口</w:t>
            </w:r>
          </w:p>
        </w:tc>
        <w:tc>
          <w:tcPr>
            <w:tcW w:w="5812" w:type="dxa"/>
            <w:vAlign w:val="center"/>
          </w:tcPr>
          <w:p>
            <w:pPr>
              <w:autoSpaceDE w:val="0"/>
              <w:autoSpaceDN w:val="0"/>
              <w:adjustRightInd w:val="0"/>
              <w:rPr>
                <w:rFonts w:ascii="宋体" w:hAnsi="宋体" w:cs="宋体"/>
              </w:rPr>
            </w:pPr>
            <w:r>
              <w:rPr>
                <w:rFonts w:hint="eastAsia" w:ascii="宋体" w:hAnsi="宋体" w:cs="宋体"/>
              </w:rPr>
              <w:t>USB*2, MIC+音频口*1 RJ45*1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WIFI</w:t>
            </w:r>
          </w:p>
        </w:tc>
        <w:tc>
          <w:tcPr>
            <w:tcW w:w="5812" w:type="dxa"/>
            <w:vAlign w:val="center"/>
          </w:tcPr>
          <w:p>
            <w:pPr>
              <w:autoSpaceDE w:val="0"/>
              <w:autoSpaceDN w:val="0"/>
              <w:adjustRightInd w:val="0"/>
              <w:rPr>
                <w:rFonts w:ascii="宋体" w:hAnsi="宋体" w:cs="宋体"/>
              </w:rPr>
            </w:pPr>
            <w:r>
              <w:rPr>
                <w:rFonts w:hint="eastAsia" w:ascii="宋体" w:hAnsi="宋体" w:cs="宋体"/>
              </w:rPr>
              <w:t>通用2.4G UHF+蓝牙4.0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0"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喇叭规格</w:t>
            </w:r>
          </w:p>
        </w:tc>
        <w:tc>
          <w:tcPr>
            <w:tcW w:w="5812" w:type="dxa"/>
            <w:vAlign w:val="center"/>
          </w:tcPr>
          <w:p>
            <w:pPr>
              <w:autoSpaceDE w:val="0"/>
              <w:autoSpaceDN w:val="0"/>
              <w:adjustRightInd w:val="0"/>
              <w:rPr>
                <w:rFonts w:ascii="宋体" w:hAnsi="宋体" w:cs="宋体"/>
              </w:rPr>
            </w:pPr>
            <w:r>
              <w:rPr>
                <w:rFonts w:hint="eastAsia" w:ascii="宋体" w:hAnsi="宋体" w:cs="宋体"/>
              </w:rPr>
              <w:t>3W /8欧× 2 扬声器</w:t>
            </w:r>
          </w:p>
        </w:tc>
      </w:tr>
    </w:tbl>
    <w:p>
      <w:pPr>
        <w:pStyle w:val="3"/>
        <w:rPr>
          <w:rFonts w:ascii="宋体" w:hAnsi="宋体" w:eastAsia="宋体" w:cs="宋体"/>
        </w:rPr>
      </w:pPr>
      <w:bookmarkStart w:id="2" w:name="_Toc2014"/>
      <w:r>
        <w:rPr>
          <w:rFonts w:hint="eastAsia" w:ascii="宋体" w:hAnsi="宋体" w:eastAsia="宋体" w:cs="宋体"/>
        </w:rPr>
        <w:t>3、功能参数</w:t>
      </w:r>
      <w:bookmarkEnd w:id="2"/>
    </w:p>
    <w:tbl>
      <w:tblPr>
        <w:tblStyle w:val="7"/>
        <w:tblW w:w="8027"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516"/>
        <w:gridCol w:w="4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restart"/>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后台发布</w:t>
            </w:r>
          </w:p>
          <w:p>
            <w:pPr>
              <w:rPr>
                <w:rFonts w:ascii="宋体" w:hAnsi="宋体" w:cs="宋体"/>
                <w:b/>
                <w:bCs/>
                <w:szCs w:val="24"/>
              </w:rPr>
            </w:pPr>
            <w:r>
              <w:rPr>
                <w:rFonts w:hint="eastAsia" w:ascii="宋体" w:hAnsi="宋体" w:cs="宋体"/>
                <w:b/>
                <w:bCs/>
                <w:szCs w:val="24"/>
              </w:rPr>
              <w:t>系统功能</w:t>
            </w:r>
          </w:p>
        </w:tc>
        <w:tc>
          <w:tcPr>
            <w:tcW w:w="1516" w:type="dxa"/>
            <w:vMerge w:val="restart"/>
            <w:vAlign w:val="center"/>
          </w:tcPr>
          <w:p>
            <w:pPr>
              <w:rPr>
                <w:rFonts w:ascii="宋体" w:hAnsi="宋体" w:cs="宋体"/>
                <w:b/>
                <w:bCs/>
                <w:kern w:val="0"/>
                <w:sz w:val="20"/>
                <w:szCs w:val="20"/>
              </w:rPr>
            </w:pPr>
            <w:r>
              <w:rPr>
                <w:rFonts w:hint="eastAsia" w:ascii="宋体" w:hAnsi="宋体" w:cs="宋体"/>
                <w:b/>
                <w:bCs/>
                <w:kern w:val="0"/>
                <w:sz w:val="20"/>
                <w:szCs w:val="20"/>
              </w:rPr>
              <w:t>节目管理</w:t>
            </w:r>
          </w:p>
        </w:tc>
        <w:tc>
          <w:tcPr>
            <w:tcW w:w="4881"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支持设置节目列表，可对节目进行删除、预览、发布和编辑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82"/>
              <w:jc w:val="center"/>
              <w:rPr>
                <w:rFonts w:ascii="宋体" w:hAnsi="宋体" w:cs="宋体"/>
                <w:b/>
                <w:bCs/>
                <w:szCs w:val="24"/>
              </w:rPr>
            </w:pPr>
          </w:p>
        </w:tc>
        <w:tc>
          <w:tcPr>
            <w:tcW w:w="1516" w:type="dxa"/>
            <w:vMerge w:val="continue"/>
            <w:vAlign w:val="center"/>
          </w:tcPr>
          <w:p>
            <w:pPr>
              <w:ind w:firstLine="402"/>
              <w:jc w:val="center"/>
              <w:rPr>
                <w:rFonts w:ascii="宋体" w:hAnsi="宋体" w:cs="宋体"/>
                <w:b/>
                <w:bCs/>
                <w:kern w:val="0"/>
                <w:sz w:val="20"/>
                <w:szCs w:val="20"/>
              </w:rPr>
            </w:pPr>
          </w:p>
        </w:tc>
        <w:tc>
          <w:tcPr>
            <w:tcW w:w="4881"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支持设置节目的播放日程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82"/>
              <w:jc w:val="center"/>
              <w:rPr>
                <w:rFonts w:ascii="宋体" w:hAnsi="宋体" w:cs="宋体"/>
                <w:b/>
                <w:bCs/>
                <w:szCs w:val="24"/>
              </w:rPr>
            </w:pPr>
          </w:p>
        </w:tc>
        <w:tc>
          <w:tcPr>
            <w:tcW w:w="1516" w:type="dxa"/>
            <w:vMerge w:val="continue"/>
            <w:vAlign w:val="center"/>
          </w:tcPr>
          <w:p>
            <w:pPr>
              <w:ind w:firstLine="402"/>
              <w:jc w:val="center"/>
              <w:rPr>
                <w:rFonts w:ascii="宋体" w:hAnsi="宋体" w:cs="宋体"/>
                <w:b/>
                <w:bCs/>
                <w:kern w:val="0"/>
                <w:sz w:val="20"/>
                <w:szCs w:val="20"/>
              </w:rPr>
            </w:pPr>
          </w:p>
        </w:tc>
        <w:tc>
          <w:tcPr>
            <w:tcW w:w="4881"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支持设置消息列表，可对消息进行删除、预览、编辑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82"/>
              <w:jc w:val="center"/>
              <w:rPr>
                <w:rFonts w:ascii="宋体" w:hAnsi="宋体" w:cs="宋体"/>
                <w:b/>
                <w:bCs/>
                <w:szCs w:val="24"/>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终端管理</w:t>
            </w:r>
          </w:p>
        </w:tc>
        <w:tc>
          <w:tcPr>
            <w:tcW w:w="4881"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支持对选择的终端进行终端监控和终端设置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82"/>
              <w:jc w:val="center"/>
              <w:rPr>
                <w:rFonts w:ascii="宋体" w:hAnsi="宋体" w:cs="宋体"/>
                <w:b/>
                <w:bCs/>
                <w:szCs w:val="24"/>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消息管理</w:t>
            </w:r>
          </w:p>
        </w:tc>
        <w:tc>
          <w:tcPr>
            <w:tcW w:w="4881" w:type="dxa"/>
            <w:vAlign w:val="center"/>
          </w:tcPr>
          <w:p>
            <w:pPr>
              <w:rPr>
                <w:rFonts w:ascii="宋体" w:hAnsi="宋体" w:cs="宋体"/>
                <w:color w:val="000000"/>
                <w:kern w:val="0"/>
                <w:sz w:val="20"/>
                <w:szCs w:val="20"/>
              </w:rPr>
            </w:pPr>
            <w:r>
              <w:rPr>
                <w:rFonts w:hint="eastAsia" w:ascii="宋体" w:hAnsi="宋体" w:cs="宋体"/>
                <w:color w:val="000000"/>
                <w:kern w:val="0"/>
                <w:sz w:val="20"/>
                <w:szCs w:val="20"/>
              </w:rPr>
              <w:t>支持同步设置消息内容、消息播放时长、消息播放时间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82"/>
              <w:jc w:val="center"/>
              <w:rPr>
                <w:rFonts w:ascii="宋体" w:hAnsi="宋体" w:cs="宋体"/>
                <w:b/>
                <w:bCs/>
                <w:szCs w:val="24"/>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节目制作</w:t>
            </w:r>
          </w:p>
        </w:tc>
        <w:tc>
          <w:tcPr>
            <w:tcW w:w="4881" w:type="dxa"/>
            <w:vAlign w:val="center"/>
          </w:tcPr>
          <w:p>
            <w:pPr>
              <w:rPr>
                <w:rFonts w:ascii="宋体" w:hAnsi="宋体" w:cs="宋体"/>
                <w:b/>
                <w:bCs/>
                <w:kern w:val="0"/>
                <w:sz w:val="20"/>
                <w:szCs w:val="20"/>
              </w:rPr>
            </w:pPr>
            <w:r>
              <w:rPr>
                <w:rFonts w:hint="eastAsia" w:ascii="宋体" w:hAnsi="宋体" w:cs="宋体"/>
                <w:color w:val="000000"/>
                <w:kern w:val="0"/>
                <w:sz w:val="20"/>
                <w:szCs w:val="20"/>
              </w:rPr>
              <w:t>支持同步设置节目名称、节目内容、节目时长、播放类型、播放时间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restart"/>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其他功能</w:t>
            </w: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网络设置</w:t>
            </w:r>
          </w:p>
        </w:tc>
        <w:tc>
          <w:tcPr>
            <w:tcW w:w="4881" w:type="dxa"/>
            <w:vAlign w:val="center"/>
          </w:tcPr>
          <w:p>
            <w:pPr>
              <w:rPr>
                <w:rFonts w:ascii="宋体" w:hAnsi="宋体" w:cs="宋体"/>
                <w:b/>
                <w:bCs/>
                <w:kern w:val="0"/>
                <w:sz w:val="20"/>
                <w:szCs w:val="20"/>
              </w:rPr>
            </w:pPr>
            <w:r>
              <w:rPr>
                <w:rFonts w:hint="eastAsia" w:ascii="宋体" w:hAnsi="宋体" w:cs="宋体"/>
                <w:kern w:val="0"/>
                <w:sz w:val="20"/>
                <w:szCs w:val="20"/>
              </w:rPr>
              <w:t>支持有线网络连接和无线网络连接。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分时设置</w:t>
            </w:r>
          </w:p>
        </w:tc>
        <w:tc>
          <w:tcPr>
            <w:tcW w:w="4881" w:type="dxa"/>
            <w:vAlign w:val="center"/>
          </w:tcPr>
          <w:p>
            <w:pPr>
              <w:rPr>
                <w:rFonts w:ascii="宋体" w:hAnsi="宋体" w:cs="宋体"/>
                <w:b/>
                <w:bCs/>
                <w:kern w:val="0"/>
                <w:sz w:val="20"/>
                <w:szCs w:val="20"/>
              </w:rPr>
            </w:pPr>
            <w:r>
              <w:rPr>
                <w:rFonts w:hint="eastAsia" w:ascii="宋体" w:hAnsi="宋体" w:cs="宋体"/>
                <w:kern w:val="0"/>
                <w:sz w:val="20"/>
                <w:szCs w:val="20"/>
              </w:rPr>
              <w:t>支持分时设置广告机开关机时间段、广告机音量。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语言切换</w:t>
            </w:r>
          </w:p>
        </w:tc>
        <w:tc>
          <w:tcPr>
            <w:tcW w:w="4881" w:type="dxa"/>
            <w:vAlign w:val="center"/>
          </w:tcPr>
          <w:p>
            <w:pPr>
              <w:rPr>
                <w:rFonts w:ascii="宋体" w:hAnsi="宋体" w:cs="宋体"/>
                <w:b/>
                <w:bCs/>
                <w:kern w:val="0"/>
                <w:sz w:val="20"/>
                <w:szCs w:val="20"/>
              </w:rPr>
            </w:pPr>
            <w:r>
              <w:rPr>
                <w:rFonts w:hint="eastAsia" w:ascii="宋体" w:hAnsi="宋体" w:cs="宋体"/>
                <w:kern w:val="0"/>
                <w:sz w:val="20"/>
                <w:szCs w:val="20"/>
              </w:rPr>
              <w:t>支持简体中文和英文切换。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屏幕转换</w:t>
            </w:r>
          </w:p>
        </w:tc>
        <w:tc>
          <w:tcPr>
            <w:tcW w:w="4881" w:type="dxa"/>
            <w:vAlign w:val="center"/>
          </w:tcPr>
          <w:p>
            <w:pPr>
              <w:rPr>
                <w:rFonts w:ascii="宋体" w:hAnsi="宋体" w:cs="宋体"/>
                <w:kern w:val="0"/>
                <w:sz w:val="20"/>
                <w:szCs w:val="20"/>
              </w:rPr>
            </w:pPr>
            <w:r>
              <w:rPr>
                <w:rFonts w:hint="eastAsia" w:ascii="宋体" w:hAnsi="宋体" w:cs="宋体"/>
                <w:kern w:val="0"/>
                <w:sz w:val="20"/>
                <w:szCs w:val="20"/>
              </w:rPr>
              <w:t>支持 0°、90°、180°、270°屏幕切换。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系统升级</w:t>
            </w:r>
          </w:p>
        </w:tc>
        <w:tc>
          <w:tcPr>
            <w:tcW w:w="4881" w:type="dxa"/>
            <w:vAlign w:val="center"/>
          </w:tcPr>
          <w:p>
            <w:pPr>
              <w:rPr>
                <w:rFonts w:ascii="宋体" w:hAnsi="宋体" w:cs="宋体"/>
                <w:kern w:val="0"/>
                <w:sz w:val="20"/>
                <w:szCs w:val="20"/>
              </w:rPr>
            </w:pPr>
            <w:r>
              <w:rPr>
                <w:rFonts w:hint="eastAsia" w:ascii="宋体" w:hAnsi="宋体" w:cs="宋体"/>
                <w:kern w:val="0"/>
                <w:sz w:val="20"/>
                <w:szCs w:val="20"/>
              </w:rPr>
              <w:t>支持系统后台升级和本地升级。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服务器设置</w:t>
            </w:r>
          </w:p>
        </w:tc>
        <w:tc>
          <w:tcPr>
            <w:tcW w:w="4881" w:type="dxa"/>
            <w:vAlign w:val="center"/>
          </w:tcPr>
          <w:p>
            <w:pPr>
              <w:rPr>
                <w:rFonts w:ascii="宋体" w:hAnsi="宋体" w:cs="宋体"/>
                <w:kern w:val="0"/>
                <w:sz w:val="20"/>
                <w:szCs w:val="20"/>
              </w:rPr>
            </w:pPr>
            <w:r>
              <w:rPr>
                <w:rFonts w:hint="eastAsia" w:ascii="宋体" w:hAnsi="宋体" w:cs="宋体"/>
                <w:kern w:val="0"/>
                <w:sz w:val="20"/>
                <w:szCs w:val="20"/>
              </w:rPr>
              <w:t>支持手动输入 IP，连接相应的服务器。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定时开关机</w:t>
            </w:r>
          </w:p>
        </w:tc>
        <w:tc>
          <w:tcPr>
            <w:tcW w:w="4881" w:type="dxa"/>
            <w:vAlign w:val="center"/>
          </w:tcPr>
          <w:p>
            <w:pPr>
              <w:rPr>
                <w:rFonts w:ascii="宋体" w:hAnsi="宋体" w:cs="宋体"/>
                <w:kern w:val="0"/>
                <w:sz w:val="20"/>
                <w:szCs w:val="20"/>
              </w:rPr>
            </w:pPr>
            <w:r>
              <w:rPr>
                <w:rFonts w:hint="eastAsia" w:ascii="宋体" w:hAnsi="宋体" w:cs="宋体"/>
                <w:kern w:val="0"/>
                <w:sz w:val="20"/>
                <w:szCs w:val="20"/>
              </w:rPr>
              <w:t>支持定时开关机。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鼠标</w:t>
            </w:r>
          </w:p>
        </w:tc>
        <w:tc>
          <w:tcPr>
            <w:tcW w:w="4881" w:type="dxa"/>
            <w:vAlign w:val="center"/>
          </w:tcPr>
          <w:p>
            <w:pPr>
              <w:rPr>
                <w:rFonts w:ascii="宋体" w:hAnsi="宋体" w:cs="宋体"/>
                <w:kern w:val="0"/>
                <w:sz w:val="20"/>
                <w:szCs w:val="20"/>
              </w:rPr>
            </w:pPr>
            <w:r>
              <w:rPr>
                <w:rFonts w:hint="eastAsia" w:ascii="宋体" w:hAnsi="宋体" w:cs="宋体"/>
                <w:kern w:val="0"/>
                <w:sz w:val="20"/>
                <w:szCs w:val="20"/>
              </w:rPr>
              <w:t>支持鼠标操作页面。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TF 卡</w:t>
            </w:r>
          </w:p>
        </w:tc>
        <w:tc>
          <w:tcPr>
            <w:tcW w:w="4881" w:type="dxa"/>
            <w:vAlign w:val="center"/>
          </w:tcPr>
          <w:p>
            <w:pPr>
              <w:rPr>
                <w:rFonts w:ascii="宋体" w:hAnsi="宋体" w:cs="宋体"/>
                <w:kern w:val="0"/>
                <w:sz w:val="20"/>
                <w:szCs w:val="20"/>
              </w:rPr>
            </w:pPr>
            <w:r>
              <w:rPr>
                <w:rFonts w:hint="eastAsia" w:ascii="宋体" w:hAnsi="宋体" w:cs="宋体"/>
                <w:kern w:val="0"/>
                <w:sz w:val="20"/>
                <w:szCs w:val="20"/>
              </w:rPr>
              <w:t>支持插入 TF 卡，增大存储空间。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0" w:type="dxa"/>
            <w:vMerge w:val="continue"/>
            <w:shd w:val="clear" w:color="auto" w:fill="EBF1DE" w:themeFill="accent3" w:themeFillTint="32"/>
            <w:vAlign w:val="center"/>
          </w:tcPr>
          <w:p>
            <w:pPr>
              <w:ind w:firstLine="422"/>
              <w:jc w:val="center"/>
              <w:rPr>
                <w:rFonts w:ascii="宋体" w:hAnsi="宋体" w:cs="宋体"/>
                <w:b/>
                <w:bCs/>
              </w:rPr>
            </w:pPr>
          </w:p>
        </w:tc>
        <w:tc>
          <w:tcPr>
            <w:tcW w:w="1516" w:type="dxa"/>
            <w:vAlign w:val="center"/>
          </w:tcPr>
          <w:p>
            <w:pPr>
              <w:rPr>
                <w:rFonts w:ascii="宋体" w:hAnsi="宋体" w:cs="宋体"/>
                <w:b/>
                <w:bCs/>
                <w:kern w:val="0"/>
                <w:sz w:val="20"/>
                <w:szCs w:val="20"/>
              </w:rPr>
            </w:pPr>
            <w:r>
              <w:rPr>
                <w:rFonts w:hint="eastAsia" w:ascii="宋体" w:hAnsi="宋体" w:cs="宋体"/>
                <w:b/>
                <w:bCs/>
                <w:kern w:val="0"/>
                <w:sz w:val="20"/>
                <w:szCs w:val="20"/>
              </w:rPr>
              <w:t>页面自动跳转</w:t>
            </w:r>
          </w:p>
        </w:tc>
        <w:tc>
          <w:tcPr>
            <w:tcW w:w="4881" w:type="dxa"/>
            <w:vAlign w:val="center"/>
          </w:tcPr>
          <w:p>
            <w:pPr>
              <w:rPr>
                <w:rFonts w:ascii="宋体" w:hAnsi="宋体" w:cs="宋体"/>
                <w:kern w:val="0"/>
                <w:sz w:val="20"/>
                <w:szCs w:val="20"/>
              </w:rPr>
            </w:pPr>
            <w:r>
              <w:rPr>
                <w:rFonts w:hint="eastAsia" w:ascii="宋体" w:hAnsi="宋体" w:cs="宋体"/>
                <w:kern w:val="0"/>
                <w:sz w:val="20"/>
                <w:szCs w:val="20"/>
              </w:rPr>
              <w:t>当处于主页面时，10s 不进行操作画面会自动跳转到节目播放页面；当处于子页面时 60s 不进行操作画面会自动跳转到主页面。</w:t>
            </w:r>
          </w:p>
        </w:tc>
      </w:tr>
    </w:tbl>
    <w:p>
      <w:pPr>
        <w:pStyle w:val="3"/>
        <w:rPr>
          <w:rFonts w:ascii="宋体" w:hAnsi="宋体" w:eastAsia="宋体" w:cs="宋体"/>
        </w:rPr>
      </w:pPr>
      <w:bookmarkStart w:id="3" w:name="_Toc16409"/>
      <w:r>
        <w:rPr>
          <w:rFonts w:hint="eastAsia" w:ascii="宋体" w:hAnsi="宋体" w:eastAsia="宋体" w:cs="宋体"/>
        </w:rPr>
        <w:t>4、整机特性</w:t>
      </w:r>
      <w:bookmarkEnd w:id="3"/>
    </w:p>
    <w:tbl>
      <w:tblPr>
        <w:tblStyle w:val="7"/>
        <w:tblpPr w:leftFromText="180" w:rightFromText="180" w:vertAnchor="text" w:horzAnchor="page" w:tblpXSpec="center" w:tblpY="218"/>
        <w:tblOverlap w:val="never"/>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6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2112"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外壳及外观</w:t>
            </w:r>
          </w:p>
        </w:tc>
        <w:tc>
          <w:tcPr>
            <w:tcW w:w="6159" w:type="dxa"/>
            <w:vAlign w:val="center"/>
          </w:tcPr>
          <w:p>
            <w:pPr>
              <w:rPr>
                <w:rFonts w:ascii="宋体" w:hAnsi="宋体" w:cs="宋体"/>
                <w:szCs w:val="24"/>
              </w:rPr>
            </w:pPr>
            <w:r>
              <w:rPr>
                <w:rFonts w:hint="eastAsia" w:ascii="宋体" w:hAnsi="宋体" w:cs="宋体"/>
                <w:szCs w:val="24"/>
              </w:rPr>
              <w:t>毫米级超窄边框设计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112"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颜色</w:t>
            </w:r>
          </w:p>
        </w:tc>
        <w:tc>
          <w:tcPr>
            <w:tcW w:w="6159" w:type="dxa"/>
            <w:vAlign w:val="center"/>
          </w:tcPr>
          <w:p>
            <w:pPr>
              <w:rPr>
                <w:rFonts w:ascii="宋体" w:hAnsi="宋体" w:cs="宋体"/>
                <w:szCs w:val="24"/>
              </w:rPr>
            </w:pPr>
            <w:r>
              <w:rPr>
                <w:rFonts w:hint="eastAsia" w:ascii="宋体" w:hAnsi="宋体" w:cs="宋体"/>
                <w:szCs w:val="24"/>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12"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净重</w:t>
            </w:r>
          </w:p>
        </w:tc>
        <w:tc>
          <w:tcPr>
            <w:tcW w:w="6159" w:type="dxa"/>
            <w:vAlign w:val="center"/>
          </w:tcPr>
          <w:p>
            <w:pPr>
              <w:rPr>
                <w:rFonts w:ascii="宋体" w:hAnsi="宋体" w:cs="宋体"/>
                <w:szCs w:val="24"/>
              </w:rPr>
            </w:pPr>
            <w:r>
              <w:rPr>
                <w:rFonts w:hint="eastAsia" w:ascii="宋体" w:hAnsi="宋体" w:cs="宋体"/>
                <w:szCs w:val="24"/>
              </w:rPr>
              <w:t>5.6KG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112"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毛重</w:t>
            </w:r>
          </w:p>
        </w:tc>
        <w:tc>
          <w:tcPr>
            <w:tcW w:w="6159" w:type="dxa"/>
            <w:vAlign w:val="center"/>
          </w:tcPr>
          <w:p>
            <w:pPr>
              <w:rPr>
                <w:rFonts w:ascii="宋体" w:hAnsi="宋体" w:cs="宋体"/>
                <w:szCs w:val="24"/>
              </w:rPr>
            </w:pPr>
            <w:r>
              <w:rPr>
                <w:rFonts w:hint="eastAsia" w:ascii="宋体" w:hAnsi="宋体" w:cs="宋体"/>
                <w:szCs w:val="24"/>
              </w:rPr>
              <w:t>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12"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最大功耗率</w:t>
            </w:r>
          </w:p>
        </w:tc>
        <w:tc>
          <w:tcPr>
            <w:tcW w:w="6159" w:type="dxa"/>
            <w:vAlign w:val="center"/>
          </w:tcPr>
          <w:p>
            <w:pPr>
              <w:rPr>
                <w:rFonts w:ascii="宋体" w:hAnsi="宋体" w:cs="宋体"/>
                <w:szCs w:val="24"/>
              </w:rPr>
            </w:pPr>
            <w:r>
              <w:rPr>
                <w:rFonts w:hint="eastAsia" w:ascii="宋体" w:hAnsi="宋体" w:cs="宋体"/>
                <w:szCs w:val="24"/>
              </w:rPr>
              <w:t>≤48W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112"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待机功率</w:t>
            </w:r>
          </w:p>
        </w:tc>
        <w:tc>
          <w:tcPr>
            <w:tcW w:w="6159" w:type="dxa"/>
            <w:vAlign w:val="center"/>
          </w:tcPr>
          <w:p>
            <w:pPr>
              <w:rPr>
                <w:rFonts w:ascii="宋体" w:hAnsi="宋体" w:cs="宋体"/>
                <w:szCs w:val="24"/>
              </w:rPr>
            </w:pPr>
            <w:r>
              <w:rPr>
                <w:rFonts w:hint="eastAsia" w:ascii="宋体" w:hAnsi="宋体" w:cs="宋体"/>
                <w:szCs w:val="24"/>
              </w:rPr>
              <w:t>≤0.5W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112"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安装方式</w:t>
            </w:r>
          </w:p>
        </w:tc>
        <w:tc>
          <w:tcPr>
            <w:tcW w:w="6159" w:type="dxa"/>
            <w:vAlign w:val="center"/>
          </w:tcPr>
          <w:p>
            <w:pPr>
              <w:rPr>
                <w:rFonts w:ascii="宋体" w:hAnsi="宋体" w:cs="宋体"/>
                <w:szCs w:val="24"/>
              </w:rPr>
            </w:pPr>
            <w:r>
              <w:rPr>
                <w:rFonts w:hint="eastAsia" w:ascii="宋体" w:hAnsi="宋体" w:cs="宋体"/>
                <w:szCs w:val="24"/>
              </w:rPr>
              <w:t>壁挂式</w:t>
            </w:r>
          </w:p>
        </w:tc>
      </w:tr>
    </w:tbl>
    <w:p>
      <w:pPr>
        <w:pStyle w:val="3"/>
        <w:rPr>
          <w:rFonts w:ascii="宋体" w:hAnsi="宋体" w:eastAsia="宋体" w:cs="宋体"/>
        </w:rPr>
      </w:pPr>
      <w:bookmarkStart w:id="4" w:name="_Toc27598"/>
      <w:r>
        <w:rPr>
          <w:rFonts w:hint="eastAsia" w:ascii="宋体" w:hAnsi="宋体" w:eastAsia="宋体" w:cs="宋体"/>
        </w:rPr>
        <w:t>5、工作环境</w:t>
      </w:r>
      <w:bookmarkEnd w:id="4"/>
    </w:p>
    <w:tbl>
      <w:tblPr>
        <w:tblStyle w:val="7"/>
        <w:tblpPr w:leftFromText="180" w:rightFromText="180" w:vertAnchor="text" w:horzAnchor="page" w:tblpXSpec="center" w:tblpY="172"/>
        <w:tblOverlap w:val="never"/>
        <w:tblW w:w="8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3"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工作场所</w:t>
            </w:r>
          </w:p>
        </w:tc>
        <w:tc>
          <w:tcPr>
            <w:tcW w:w="6119" w:type="dxa"/>
            <w:vAlign w:val="center"/>
          </w:tcPr>
          <w:p>
            <w:pPr>
              <w:rPr>
                <w:rFonts w:ascii="宋体" w:hAnsi="宋体" w:cs="宋体"/>
              </w:rPr>
            </w:pPr>
            <w:r>
              <w:rPr>
                <w:rFonts w:hint="eastAsia" w:ascii="宋体" w:hAnsi="宋体" w:cs="宋体"/>
              </w:rPr>
              <w:t>室内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3"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工作温度</w:t>
            </w:r>
          </w:p>
        </w:tc>
        <w:tc>
          <w:tcPr>
            <w:tcW w:w="6119" w:type="dxa"/>
            <w:vAlign w:val="center"/>
          </w:tcPr>
          <w:p>
            <w:pPr>
              <w:rPr>
                <w:rFonts w:ascii="宋体" w:hAnsi="宋体" w:cs="宋体"/>
              </w:rPr>
            </w:pPr>
            <w:r>
              <w:rPr>
                <w:rFonts w:hint="eastAsia" w:ascii="宋体" w:hAnsi="宋体" w:cs="宋体"/>
              </w:rPr>
              <w:t>0°C - 40°C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3"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工作湿度</w:t>
            </w:r>
          </w:p>
        </w:tc>
        <w:tc>
          <w:tcPr>
            <w:tcW w:w="6119" w:type="dxa"/>
            <w:vAlign w:val="center"/>
          </w:tcPr>
          <w:p>
            <w:pPr>
              <w:rPr>
                <w:rFonts w:ascii="宋体" w:hAnsi="宋体" w:cs="宋体"/>
              </w:rPr>
            </w:pPr>
            <w:r>
              <w:rPr>
                <w:rFonts w:hint="eastAsia" w:ascii="宋体" w:hAnsi="宋体" w:cs="宋体"/>
              </w:rPr>
              <w:t>10% - 90%无凝结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173"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贮存温度</w:t>
            </w:r>
          </w:p>
        </w:tc>
        <w:tc>
          <w:tcPr>
            <w:tcW w:w="6119" w:type="dxa"/>
            <w:vAlign w:val="center"/>
          </w:tcPr>
          <w:p>
            <w:pPr>
              <w:rPr>
                <w:rFonts w:ascii="宋体" w:hAnsi="宋体" w:cs="宋体"/>
              </w:rPr>
            </w:pPr>
            <w:r>
              <w:rPr>
                <w:rFonts w:hint="eastAsia" w:ascii="宋体" w:hAnsi="宋体" w:cs="宋体"/>
              </w:rPr>
              <w:t>-20°C - 60°C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3" w:type="dxa"/>
            <w:shd w:val="clear" w:color="auto" w:fill="EBF1DE" w:themeFill="accent3" w:themeFillTint="32"/>
            <w:vAlign w:val="center"/>
          </w:tcPr>
          <w:p>
            <w:pPr>
              <w:rPr>
                <w:rFonts w:ascii="宋体" w:hAnsi="宋体" w:cs="宋体"/>
                <w:b/>
                <w:bCs/>
                <w:szCs w:val="24"/>
              </w:rPr>
            </w:pPr>
            <w:r>
              <w:rPr>
                <w:rFonts w:hint="eastAsia" w:ascii="宋体" w:hAnsi="宋体" w:cs="宋体"/>
                <w:b/>
                <w:bCs/>
                <w:szCs w:val="24"/>
              </w:rPr>
              <w:t>贮存湿度</w:t>
            </w:r>
          </w:p>
        </w:tc>
        <w:tc>
          <w:tcPr>
            <w:tcW w:w="6119" w:type="dxa"/>
            <w:vAlign w:val="center"/>
          </w:tcPr>
          <w:p>
            <w:pPr>
              <w:rPr>
                <w:rFonts w:ascii="宋体" w:hAnsi="宋体" w:cs="宋体"/>
              </w:rPr>
            </w:pPr>
            <w:r>
              <w:rPr>
                <w:rFonts w:hint="eastAsia" w:ascii="宋体" w:hAnsi="宋体" w:cs="宋体"/>
              </w:rPr>
              <w:t>10% - 90%无凝结</w:t>
            </w:r>
          </w:p>
        </w:tc>
      </w:tr>
    </w:tbl>
    <w:p>
      <w:pPr>
        <w:pStyle w:val="3"/>
        <w:rPr>
          <w:rFonts w:ascii="宋体" w:hAnsi="宋体" w:eastAsia="宋体" w:cs="宋体"/>
        </w:rPr>
      </w:pPr>
      <w:bookmarkStart w:id="5" w:name="_Toc13385"/>
      <w:r>
        <w:rPr>
          <w:rFonts w:hint="eastAsia" w:ascii="宋体" w:hAnsi="宋体" w:eastAsia="宋体" w:cs="宋体"/>
        </w:rPr>
        <w:t>6、标准随机配件</w:t>
      </w:r>
      <w:bookmarkEnd w:id="5"/>
    </w:p>
    <w:tbl>
      <w:tblPr>
        <w:tblStyle w:val="7"/>
        <w:tblpPr w:leftFromText="181" w:rightFromText="181" w:vertAnchor="text" w:horzAnchor="margin" w:tblpXSpec="center" w:tblpY="1"/>
        <w:tblOverlap w:val="never"/>
        <w:tblW w:w="8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61" w:type="dxa"/>
            <w:shd w:val="clear" w:color="auto" w:fill="EBF1DE" w:themeFill="accent3" w:themeFillTint="32"/>
            <w:vAlign w:val="center"/>
          </w:tcPr>
          <w:p>
            <w:pPr>
              <w:spacing w:before="100" w:beforeAutospacing="1" w:after="100" w:afterAutospacing="1"/>
              <w:rPr>
                <w:rFonts w:ascii="宋体" w:hAnsi="宋体" w:cs="宋体"/>
                <w:b/>
                <w:bCs/>
                <w:szCs w:val="24"/>
              </w:rPr>
            </w:pPr>
            <w:r>
              <w:rPr>
                <w:rFonts w:hint="eastAsia" w:ascii="宋体" w:hAnsi="宋体" w:cs="宋体"/>
                <w:b/>
                <w:bCs/>
                <w:szCs w:val="24"/>
              </w:rPr>
              <w:t>名称</w:t>
            </w:r>
          </w:p>
        </w:tc>
        <w:tc>
          <w:tcPr>
            <w:tcW w:w="6082" w:type="dxa"/>
            <w:shd w:val="clear" w:color="auto" w:fill="EBF1DE" w:themeFill="accent3" w:themeFillTint="32"/>
            <w:vAlign w:val="center"/>
          </w:tcPr>
          <w:p>
            <w:pPr>
              <w:ind w:firstLine="482"/>
              <w:jc w:val="center"/>
              <w:rPr>
                <w:rFonts w:ascii="宋体" w:hAnsi="宋体" w:cs="宋体"/>
                <w:b/>
                <w:bCs/>
                <w:szCs w:val="24"/>
              </w:rPr>
            </w:pPr>
            <w:r>
              <w:rPr>
                <w:rFonts w:hint="eastAsia" w:ascii="宋体" w:hAnsi="宋体" w:cs="宋体"/>
                <w:b/>
                <w:bCs/>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161" w:type="dxa"/>
            <w:shd w:val="clear" w:color="auto" w:fill="auto"/>
            <w:vAlign w:val="center"/>
          </w:tcPr>
          <w:p>
            <w:pPr>
              <w:spacing w:before="100" w:beforeAutospacing="1" w:after="100" w:afterAutospacing="1"/>
              <w:rPr>
                <w:rFonts w:ascii="宋体" w:hAnsi="宋体" w:cs="宋体"/>
                <w:szCs w:val="24"/>
              </w:rPr>
            </w:pPr>
            <w:r>
              <w:rPr>
                <w:rFonts w:hint="eastAsia" w:ascii="宋体" w:hAnsi="宋体" w:cs="宋体"/>
                <w:szCs w:val="24"/>
              </w:rPr>
              <w:t>维修卡</w:t>
            </w:r>
          </w:p>
        </w:tc>
        <w:tc>
          <w:tcPr>
            <w:tcW w:w="6082" w:type="dxa"/>
            <w:vAlign w:val="center"/>
          </w:tcPr>
          <w:p>
            <w:pPr>
              <w:rPr>
                <w:rFonts w:ascii="宋体" w:hAnsi="宋体" w:cs="宋体"/>
                <w:szCs w:val="24"/>
              </w:rPr>
            </w:pPr>
            <w:r>
              <w:rPr>
                <w:rFonts w:hint="eastAsia" w:ascii="宋体" w:hAnsi="宋体" w:cs="宋体"/>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61" w:type="dxa"/>
            <w:shd w:val="clear" w:color="auto" w:fill="auto"/>
            <w:vAlign w:val="center"/>
          </w:tcPr>
          <w:p>
            <w:pPr>
              <w:spacing w:before="100" w:beforeAutospacing="1" w:after="100" w:afterAutospacing="1"/>
              <w:rPr>
                <w:rFonts w:ascii="宋体" w:hAnsi="宋体" w:cs="宋体"/>
                <w:szCs w:val="24"/>
              </w:rPr>
            </w:pPr>
            <w:r>
              <w:rPr>
                <w:rFonts w:hint="eastAsia" w:ascii="宋体" w:hAnsi="宋体" w:cs="宋体"/>
                <w:szCs w:val="24"/>
              </w:rPr>
              <w:t>合格证</w:t>
            </w:r>
          </w:p>
        </w:tc>
        <w:tc>
          <w:tcPr>
            <w:tcW w:w="6082" w:type="dxa"/>
            <w:vAlign w:val="center"/>
          </w:tcPr>
          <w:p>
            <w:pPr>
              <w:rPr>
                <w:rFonts w:ascii="宋体" w:hAnsi="宋体" w:cs="宋体"/>
                <w:szCs w:val="24"/>
              </w:rPr>
            </w:pPr>
            <w:r>
              <w:rPr>
                <w:rFonts w:hint="eastAsia" w:ascii="宋体" w:hAnsi="宋体" w:cs="宋体"/>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61" w:type="dxa"/>
            <w:shd w:val="clear" w:color="auto" w:fill="auto"/>
            <w:vAlign w:val="center"/>
          </w:tcPr>
          <w:p>
            <w:pPr>
              <w:spacing w:before="100" w:beforeAutospacing="1" w:after="100" w:afterAutospacing="1"/>
              <w:rPr>
                <w:rFonts w:ascii="宋体" w:hAnsi="宋体" w:cs="宋体"/>
                <w:szCs w:val="24"/>
              </w:rPr>
            </w:pPr>
            <w:r>
              <w:rPr>
                <w:rFonts w:hint="eastAsia" w:ascii="宋体" w:hAnsi="宋体" w:cs="宋体"/>
                <w:szCs w:val="24"/>
              </w:rPr>
              <w:t>说明书</w:t>
            </w:r>
          </w:p>
        </w:tc>
        <w:tc>
          <w:tcPr>
            <w:tcW w:w="6082" w:type="dxa"/>
            <w:vAlign w:val="center"/>
          </w:tcPr>
          <w:p>
            <w:pPr>
              <w:rPr>
                <w:rFonts w:ascii="宋体" w:hAnsi="宋体" w:cs="宋体"/>
                <w:szCs w:val="24"/>
              </w:rPr>
            </w:pPr>
            <w:r>
              <w:rPr>
                <w:rFonts w:hint="eastAsia" w:ascii="宋体" w:hAnsi="宋体" w:cs="宋体"/>
                <w:szCs w:val="24"/>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61" w:type="dxa"/>
            <w:shd w:val="clear" w:color="auto" w:fill="auto"/>
            <w:vAlign w:val="center"/>
          </w:tcPr>
          <w:p>
            <w:pPr>
              <w:spacing w:before="100" w:beforeAutospacing="1" w:after="100" w:afterAutospacing="1"/>
              <w:rPr>
                <w:rFonts w:ascii="宋体" w:hAnsi="宋体" w:cs="宋体"/>
                <w:szCs w:val="24"/>
              </w:rPr>
            </w:pPr>
            <w:r>
              <w:rPr>
                <w:rFonts w:hint="eastAsia" w:ascii="宋体" w:hAnsi="宋体" w:cs="宋体"/>
                <w:szCs w:val="24"/>
              </w:rPr>
              <w:t>摇控器</w:t>
            </w:r>
          </w:p>
        </w:tc>
        <w:tc>
          <w:tcPr>
            <w:tcW w:w="6082" w:type="dxa"/>
            <w:vAlign w:val="center"/>
          </w:tcPr>
          <w:p>
            <w:pPr>
              <w:rPr>
                <w:rFonts w:ascii="宋体" w:hAnsi="宋体" w:cs="宋体"/>
                <w:szCs w:val="24"/>
              </w:rPr>
            </w:pPr>
            <w:r>
              <w:rPr>
                <w:rFonts w:hint="eastAsia" w:ascii="宋体" w:hAnsi="宋体" w:cs="宋体"/>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61" w:type="dxa"/>
            <w:shd w:val="clear" w:color="auto" w:fill="auto"/>
            <w:vAlign w:val="center"/>
          </w:tcPr>
          <w:p>
            <w:pPr>
              <w:spacing w:before="100" w:beforeAutospacing="1" w:after="100" w:afterAutospacing="1"/>
              <w:rPr>
                <w:rFonts w:ascii="宋体" w:hAnsi="宋体" w:cs="宋体"/>
                <w:szCs w:val="24"/>
              </w:rPr>
            </w:pPr>
            <w:r>
              <w:rPr>
                <w:rFonts w:hint="eastAsia" w:ascii="宋体" w:hAnsi="宋体" w:cs="宋体"/>
                <w:szCs w:val="24"/>
              </w:rPr>
              <w:t>胶粒</w:t>
            </w:r>
          </w:p>
        </w:tc>
        <w:tc>
          <w:tcPr>
            <w:tcW w:w="6082" w:type="dxa"/>
            <w:vAlign w:val="center"/>
          </w:tcPr>
          <w:p>
            <w:pPr>
              <w:rPr>
                <w:rFonts w:ascii="宋体" w:hAnsi="宋体" w:cs="宋体"/>
                <w:szCs w:val="24"/>
              </w:rPr>
            </w:pPr>
            <w:r>
              <w:rPr>
                <w:rFonts w:hint="eastAsia" w:ascii="宋体" w:hAnsi="宋体" w:cs="宋体"/>
                <w:szCs w:val="24"/>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161" w:type="dxa"/>
            <w:shd w:val="clear" w:color="auto" w:fill="auto"/>
            <w:vAlign w:val="center"/>
          </w:tcPr>
          <w:p>
            <w:pPr>
              <w:spacing w:before="100" w:beforeAutospacing="1" w:after="100" w:afterAutospacing="1"/>
              <w:rPr>
                <w:rFonts w:ascii="宋体" w:hAnsi="宋体" w:cs="宋体"/>
                <w:szCs w:val="24"/>
              </w:rPr>
            </w:pPr>
            <w:r>
              <w:rPr>
                <w:rFonts w:hint="eastAsia" w:ascii="宋体" w:hAnsi="宋体" w:cs="宋体"/>
                <w:szCs w:val="24"/>
              </w:rPr>
              <w:t>自攻镙丝</w:t>
            </w:r>
          </w:p>
        </w:tc>
        <w:tc>
          <w:tcPr>
            <w:tcW w:w="6082" w:type="dxa"/>
            <w:vAlign w:val="center"/>
          </w:tcPr>
          <w:p>
            <w:pPr>
              <w:rPr>
                <w:rFonts w:ascii="宋体" w:hAnsi="宋体" w:cs="宋体"/>
                <w:szCs w:val="24"/>
              </w:rPr>
            </w:pPr>
            <w:r>
              <w:rPr>
                <w:rFonts w:hint="eastAsia" w:ascii="宋体" w:hAnsi="宋体" w:cs="宋体"/>
                <w:szCs w:val="24"/>
              </w:rPr>
              <w:t>4个</w:t>
            </w:r>
          </w:p>
        </w:tc>
      </w:tr>
    </w:tbl>
    <w:p>
      <w:pPr>
        <w:rPr>
          <w:b/>
        </w:rPr>
      </w:pPr>
    </w:p>
    <w:p>
      <w:pPr>
        <w:rPr>
          <w:b/>
        </w:rPr>
      </w:pPr>
      <w:r>
        <w:rPr>
          <w:rFonts w:hint="eastAsia"/>
          <w:b/>
        </w:rPr>
        <w:t>声明：本公告所述的功能及参数无任何针对性、倾向性和排他性，因市场了解的局限性，可能存在某些不足，仅作为我院医疗教学设备市场调研参考所用。</w:t>
      </w:r>
    </w:p>
    <w:p>
      <w:pPr>
        <w:pStyle w:val="3"/>
        <w:rPr>
          <w:rFonts w:ascii="宋体" w:hAnsi="宋体" w:eastAsia="宋体" w:cs="宋体"/>
        </w:rPr>
      </w:pPr>
      <w:r>
        <w:rPr>
          <w:rFonts w:hint="eastAsia" w:cs="Times New Roman" w:asciiTheme="minorEastAsia" w:hAnsiTheme="minorEastAsia"/>
          <w:sz w:val="28"/>
          <w:szCs w:val="28"/>
          <w:shd w:val="clear" w:color="auto" w:fill="FFFFFF"/>
        </w:rPr>
        <w:t>五、</w:t>
      </w:r>
      <w:bookmarkStart w:id="6" w:name="_Toc8082"/>
      <w:r>
        <w:rPr>
          <w:rFonts w:hint="eastAsia" w:ascii="宋体" w:hAnsi="宋体" w:eastAsia="宋体" w:cs="宋体"/>
        </w:rPr>
        <w:t>核心应用</w:t>
      </w:r>
      <w:bookmarkEnd w:id="6"/>
    </w:p>
    <w:p>
      <w:pPr>
        <w:pStyle w:val="6"/>
        <w:spacing w:before="288" w:beforeAutospacing="0" w:afterAutospacing="0" w:line="360" w:lineRule="atLeast"/>
        <w:ind w:firstLine="480"/>
        <w:rPr>
          <w:rFonts w:ascii="宋体" w:hAnsi="宋体" w:cs="宋体"/>
          <w:color w:val="000000" w:themeColor="text1"/>
          <w:kern w:val="2"/>
        </w:rPr>
      </w:pPr>
      <w:r>
        <w:rPr>
          <w:rFonts w:hint="eastAsia" w:ascii="宋体" w:hAnsi="宋体" w:cs="宋体"/>
          <w:color w:val="000000" w:themeColor="text1"/>
          <w:kern w:val="2"/>
        </w:rPr>
        <w:t>1、诊室门口屏，外观采用一体化设计，主要由液晶显示屏、主板、喇叭构成，外观简单美观时尚；</w:t>
      </w:r>
    </w:p>
    <w:p>
      <w:pPr>
        <w:pStyle w:val="6"/>
        <w:spacing w:before="288" w:beforeAutospacing="0" w:afterAutospacing="0" w:line="360" w:lineRule="atLeast"/>
        <w:ind w:firstLine="480"/>
        <w:rPr>
          <w:rFonts w:ascii="宋体" w:hAnsi="宋体" w:cs="宋体"/>
          <w:color w:val="000000" w:themeColor="text1"/>
          <w:kern w:val="2"/>
        </w:rPr>
      </w:pPr>
      <w:r>
        <w:rPr>
          <w:rFonts w:hint="eastAsia" w:ascii="宋体" w:hAnsi="宋体" w:cs="宋体"/>
          <w:color w:val="000000" w:themeColor="text1"/>
          <w:kern w:val="2"/>
        </w:rPr>
        <w:t>2、</w:t>
      </w:r>
      <w:r>
        <w:rPr>
          <w:rFonts w:ascii="宋体" w:hAnsi="宋体" w:cs="宋体"/>
          <w:color w:val="000000" w:themeColor="text1"/>
          <w:kern w:val="2"/>
        </w:rPr>
        <w:t>显示屏的界面显示样式，可通过叫号软件后台自定义设置排版，显示区域大小；</w:t>
      </w:r>
    </w:p>
    <w:p>
      <w:pPr>
        <w:pStyle w:val="6"/>
        <w:spacing w:before="336" w:beforeAutospacing="0" w:afterAutospacing="0" w:line="360" w:lineRule="atLeast"/>
        <w:ind w:firstLine="480"/>
        <w:rPr>
          <w:rFonts w:ascii="宋体" w:hAnsi="宋体" w:cs="宋体"/>
          <w:color w:val="000000" w:themeColor="text1"/>
          <w:kern w:val="2"/>
        </w:rPr>
      </w:pPr>
      <w:r>
        <w:rPr>
          <w:rFonts w:hint="eastAsia" w:ascii="宋体" w:hAnsi="宋体" w:cs="宋体"/>
          <w:color w:val="000000" w:themeColor="text1"/>
          <w:kern w:val="2"/>
        </w:rPr>
        <w:t>3、</w:t>
      </w:r>
      <w:r>
        <w:rPr>
          <w:rFonts w:ascii="宋体" w:hAnsi="宋体" w:cs="宋体"/>
          <w:color w:val="000000" w:themeColor="text1"/>
          <w:kern w:val="2"/>
        </w:rPr>
        <w:t>显示屏主要用来显示诊室医生的姓名、照片、职位，正在进行就诊的患者姓名以及等待就诊排队的患者信息；</w:t>
      </w:r>
    </w:p>
    <w:p>
      <w:pPr>
        <w:pStyle w:val="6"/>
        <w:spacing w:before="288" w:beforeAutospacing="0" w:afterAutospacing="0" w:line="360" w:lineRule="atLeast"/>
        <w:ind w:firstLine="480"/>
        <w:rPr>
          <w:rFonts w:ascii="宋体" w:hAnsi="宋体" w:cs="宋体"/>
          <w:color w:val="000000" w:themeColor="text1"/>
          <w:kern w:val="2"/>
        </w:rPr>
      </w:pPr>
      <w:r>
        <w:rPr>
          <w:rFonts w:hint="eastAsia" w:ascii="宋体" w:hAnsi="宋体" w:cs="宋体"/>
          <w:color w:val="000000" w:themeColor="text1"/>
          <w:kern w:val="2"/>
        </w:rPr>
        <w:t>4、</w:t>
      </w:r>
      <w:r>
        <w:rPr>
          <w:rFonts w:ascii="宋体" w:hAnsi="宋体" w:cs="宋体"/>
          <w:color w:val="000000" w:themeColor="text1"/>
          <w:kern w:val="2"/>
        </w:rPr>
        <w:t>还可以设置显示医院的名称、滚动字幕，一些礼貌用语或者是注意事项；</w:t>
      </w:r>
    </w:p>
    <w:p>
      <w:pPr>
        <w:pStyle w:val="6"/>
        <w:spacing w:before="288" w:beforeAutospacing="0" w:afterAutospacing="0" w:line="360" w:lineRule="atLeast"/>
        <w:ind w:firstLine="480"/>
        <w:rPr>
          <w:rFonts w:ascii="宋体" w:hAnsi="宋体" w:cs="宋体"/>
          <w:color w:val="000000" w:themeColor="text1"/>
          <w:kern w:val="2"/>
        </w:rPr>
      </w:pPr>
      <w:r>
        <w:rPr>
          <w:rFonts w:hint="eastAsia" w:ascii="宋体" w:hAnsi="宋体" w:cs="宋体"/>
          <w:color w:val="000000" w:themeColor="text1"/>
          <w:kern w:val="2"/>
        </w:rPr>
        <w:t>5、</w:t>
      </w:r>
      <w:r>
        <w:rPr>
          <w:rFonts w:ascii="宋体" w:hAnsi="宋体" w:cs="宋体"/>
          <w:color w:val="000000" w:themeColor="text1"/>
          <w:kern w:val="2"/>
        </w:rPr>
        <w:t>支持显示当前诊室的状态：正在就诊、暂停就诊、结束就诊；</w:t>
      </w:r>
    </w:p>
    <w:p>
      <w:pPr>
        <w:pStyle w:val="6"/>
        <w:spacing w:before="288" w:beforeAutospacing="0" w:afterAutospacing="0" w:line="360" w:lineRule="atLeast"/>
        <w:ind w:firstLine="480"/>
        <w:rPr>
          <w:rFonts w:ascii="宋体" w:hAnsi="宋体" w:cs="宋体"/>
          <w:color w:val="000000" w:themeColor="text1"/>
          <w:kern w:val="2"/>
        </w:rPr>
      </w:pPr>
      <w:r>
        <w:rPr>
          <w:rFonts w:hint="eastAsia" w:ascii="宋体" w:hAnsi="宋体" w:cs="宋体"/>
          <w:color w:val="000000" w:themeColor="text1"/>
          <w:kern w:val="2"/>
        </w:rPr>
        <w:t>6、</w:t>
      </w:r>
      <w:r>
        <w:rPr>
          <w:rFonts w:ascii="宋体" w:hAnsi="宋体" w:cs="宋体"/>
          <w:color w:val="000000" w:themeColor="text1"/>
          <w:kern w:val="2"/>
        </w:rPr>
        <w:t>屏幕字体、大小、颜色，可按照喜好，自己设定；</w:t>
      </w:r>
    </w:p>
    <w:p>
      <w:pPr>
        <w:pStyle w:val="6"/>
        <w:spacing w:before="288" w:beforeAutospacing="0" w:afterAutospacing="0" w:line="360" w:lineRule="atLeast"/>
        <w:ind w:firstLine="480"/>
        <w:rPr>
          <w:rFonts w:ascii="宋体" w:hAnsi="宋体" w:cs="宋体"/>
          <w:color w:val="000000" w:themeColor="text1"/>
          <w:kern w:val="2"/>
        </w:rPr>
      </w:pPr>
      <w:r>
        <w:rPr>
          <w:rFonts w:hint="eastAsia" w:ascii="宋体" w:hAnsi="宋体" w:cs="宋体"/>
          <w:color w:val="000000" w:themeColor="text1"/>
          <w:kern w:val="2"/>
        </w:rPr>
        <w:t>7、</w:t>
      </w:r>
      <w:r>
        <w:rPr>
          <w:rFonts w:ascii="宋体" w:hAnsi="宋体" w:cs="宋体"/>
          <w:color w:val="000000" w:themeColor="text1"/>
          <w:kern w:val="2"/>
        </w:rPr>
        <w:t>支持WiFi，有线网络接连，屏幕支持横挂和竖挂显示。</w:t>
      </w:r>
    </w:p>
    <w:p>
      <w:pPr>
        <w:rPr>
          <w:rStyle w:val="10"/>
          <w:sz w:val="28"/>
          <w:szCs w:val="28"/>
        </w:rPr>
      </w:pPr>
      <w:r>
        <w:rPr>
          <w:rFonts w:hint="eastAsia" w:cs="Times New Roman" w:asciiTheme="minorEastAsia" w:hAnsiTheme="minorEastAsia"/>
          <w:sz w:val="28"/>
          <w:szCs w:val="28"/>
          <w:shd w:val="clear" w:color="auto" w:fill="FFFFFF"/>
        </w:rPr>
        <w:t>六</w:t>
      </w:r>
      <w:r>
        <w:rPr>
          <w:rFonts w:cs="Times New Roman" w:asciiTheme="minorEastAsia" w:hAnsiTheme="minorEastAsia"/>
          <w:sz w:val="28"/>
          <w:szCs w:val="28"/>
          <w:shd w:val="clear" w:color="auto" w:fill="FFFFFF"/>
        </w:rPr>
        <w:t>、</w:t>
      </w:r>
      <w:r>
        <w:rPr>
          <w:rStyle w:val="10"/>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cs="微软雅黑" w:asciiTheme="minorEastAsia" w:hAnsiTheme="minorEastAsia"/>
          <w:color w:val="1D1D1D"/>
          <w:sz w:val="28"/>
          <w:szCs w:val="28"/>
          <w:shd w:val="clear" w:color="auto" w:fill="FFFFFF"/>
        </w:rPr>
        <w:t xml:space="preserve"> 在中华人民共和国境内注册的具有独立承担民事责任能力的法人或其他组织；</w:t>
      </w:r>
      <w:r>
        <w:rPr>
          <w:rFonts w:hint="eastAsia" w:cs="Times New Roman" w:asciiTheme="minorEastAsia" w:hAnsiTheme="minorEastAsia"/>
          <w:sz w:val="28"/>
          <w:szCs w:val="28"/>
          <w:shd w:val="clear" w:color="auto" w:fill="FFFFFF"/>
        </w:rPr>
        <w:t>；</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仿宋" w:asciiTheme="minorEastAsia" w:hAnsiTheme="minorEastAsia"/>
          <w:sz w:val="28"/>
          <w:szCs w:val="28"/>
        </w:rPr>
        <w:t>市级以上政府采购电子平台或具有实时公开征集供应商报价功能的网络采购平台供应商库中的供应商：被邀请投标单位须为市级以上政府采购电子平台或具有实时公开征集供应商报价功能的网络采购平台供应商库中的供应商，包括但不限于广东省政府采购网、广东省电子化采购执行平台、广州公共资源交易中心、广东省政府采购智慧云平台等</w:t>
      </w:r>
      <w:r>
        <w:rPr>
          <w:rFonts w:hint="eastAsia" w:cs="Times New Roman" w:asciiTheme="minorEastAsia" w:hAnsiTheme="minorEastAsia"/>
          <w:sz w:val="28"/>
          <w:szCs w:val="28"/>
          <w:shd w:val="clear" w:color="auto" w:fill="FFFFFF"/>
        </w:rPr>
        <w:t>；</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七</w:t>
      </w:r>
      <w:r>
        <w:rPr>
          <w:rFonts w:cs="Times New Roman" w:asciiTheme="minorEastAsia" w:hAnsiTheme="minorEastAsia"/>
          <w:sz w:val="28"/>
          <w:szCs w:val="28"/>
          <w:shd w:val="clear" w:color="auto" w:fill="FFFFFF"/>
        </w:rPr>
        <w:t>、</w:t>
      </w:r>
      <w:r>
        <w:rPr>
          <w:rStyle w:val="10"/>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注：注：报名材料需设置封面页及目录页，封面页内容包括项目编号、项目名称、公司名称、项目联系人姓名及手机号码，页面内容按市场调研函序列编排，报价函放置最后。（</w:t>
      </w:r>
      <w:r>
        <w:rPr>
          <w:rFonts w:hint="eastAsia" w:ascii="宋体" w:hAnsi="宋体" w:cs="仿宋"/>
          <w:sz w:val="28"/>
          <w:szCs w:val="28"/>
        </w:rPr>
        <w:t>报价方式：总价包干）</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pPr>
        <w:rPr>
          <w:sz w:val="28"/>
          <w:szCs w:val="28"/>
        </w:rPr>
      </w:pPr>
      <w:r>
        <w:rPr>
          <w:rFonts w:hint="eastAsia"/>
          <w:sz w:val="28"/>
          <w:szCs w:val="28"/>
        </w:rPr>
        <w:t>八、相关说明</w:t>
      </w:r>
    </w:p>
    <w:p>
      <w:pPr>
        <w:rPr>
          <w:sz w:val="28"/>
          <w:szCs w:val="28"/>
        </w:rPr>
      </w:pPr>
      <w:r>
        <w:rPr>
          <w:rFonts w:hint="eastAsia"/>
          <w:sz w:val="28"/>
          <w:szCs w:val="28"/>
        </w:rPr>
        <w:t>1、报名截止后，我院将组织相关人员根据报名材料按照医院制度进行调研；</w:t>
      </w:r>
    </w:p>
    <w:p>
      <w:pPr>
        <w:rPr>
          <w:sz w:val="28"/>
          <w:szCs w:val="28"/>
        </w:rPr>
      </w:pPr>
      <w:r>
        <w:rPr>
          <w:rFonts w:hint="eastAsia"/>
          <w:sz w:val="28"/>
          <w:szCs w:val="28"/>
        </w:rPr>
        <w:t>2、本调研不承诺和最终购置关联，最终解释权归本院所有。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983"/>
    <w:rsid w:val="00046528"/>
    <w:rsid w:val="000C23C1"/>
    <w:rsid w:val="000C7BEE"/>
    <w:rsid w:val="00100B9B"/>
    <w:rsid w:val="003A6648"/>
    <w:rsid w:val="004802FF"/>
    <w:rsid w:val="005135DB"/>
    <w:rsid w:val="005615BF"/>
    <w:rsid w:val="00583DEA"/>
    <w:rsid w:val="00641B70"/>
    <w:rsid w:val="00651DF2"/>
    <w:rsid w:val="00802AAF"/>
    <w:rsid w:val="008A158F"/>
    <w:rsid w:val="00993273"/>
    <w:rsid w:val="009B2EA7"/>
    <w:rsid w:val="009E50A5"/>
    <w:rsid w:val="00A14C4B"/>
    <w:rsid w:val="00A56ED8"/>
    <w:rsid w:val="00C908E2"/>
    <w:rsid w:val="00CA295A"/>
    <w:rsid w:val="00D34D0A"/>
    <w:rsid w:val="00E45983"/>
    <w:rsid w:val="02F02B7C"/>
    <w:rsid w:val="092E5DF9"/>
    <w:rsid w:val="0EDC6350"/>
    <w:rsid w:val="0F254159"/>
    <w:rsid w:val="10E95364"/>
    <w:rsid w:val="12585C29"/>
    <w:rsid w:val="1D306213"/>
    <w:rsid w:val="1E2636EF"/>
    <w:rsid w:val="2544534F"/>
    <w:rsid w:val="25E05DBD"/>
    <w:rsid w:val="38D06B0E"/>
    <w:rsid w:val="39F0393C"/>
    <w:rsid w:val="413D61EC"/>
    <w:rsid w:val="430C1ECC"/>
    <w:rsid w:val="57500037"/>
    <w:rsid w:val="5D2175D0"/>
    <w:rsid w:val="6DA74810"/>
    <w:rsid w:val="6FFF17BE"/>
    <w:rsid w:val="70252114"/>
    <w:rsid w:val="78363261"/>
    <w:rsid w:val="796120E1"/>
    <w:rsid w:val="7B0C7773"/>
    <w:rsid w:val="7E3F61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character" w:customStyle="1" w:styleId="14">
    <w:name w:val="标题 1 Char"/>
    <w:basedOn w:val="9"/>
    <w:link w:val="2"/>
    <w:qFormat/>
    <w:uiPriority w:val="9"/>
    <w:rPr>
      <w:b/>
      <w:bCs/>
      <w:kern w:val="44"/>
      <w:sz w:val="44"/>
      <w:szCs w:val="44"/>
    </w:rPr>
  </w:style>
  <w:style w:type="character" w:customStyle="1" w:styleId="15">
    <w:name w:val="标题 2 Char"/>
    <w:basedOn w:val="9"/>
    <w:link w:val="3"/>
    <w:semiHidden/>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414</Words>
  <Characters>2362</Characters>
  <Lines>19</Lines>
  <Paragraphs>5</Paragraphs>
  <TotalTime>40</TotalTime>
  <ScaleCrop>false</ScaleCrop>
  <LinksUpToDate>false</LinksUpToDate>
  <CharactersWithSpaces>2771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Administrator</cp:lastModifiedBy>
  <dcterms:modified xsi:type="dcterms:W3CDTF">2023-08-08T09:10:54Z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AA63938770D7464988AFDB61C17F58D1_13</vt:lpwstr>
  </property>
</Properties>
</file>