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bookmarkStart w:id="0" w:name="_GoBack"/>
      <w:bookmarkEnd w:id="0"/>
      <w:r>
        <w:rPr>
          <w:rFonts w:hint="eastAsia"/>
          <w:b/>
          <w:bCs/>
          <w:sz w:val="44"/>
          <w:szCs w:val="44"/>
        </w:rPr>
        <w:t>南方医科大学口腔医院年度信息系统安全保障服务及等保测评服务</w:t>
      </w:r>
      <w:r>
        <w:rPr>
          <w:b/>
          <w:sz w:val="44"/>
          <w:szCs w:val="44"/>
        </w:rPr>
        <w:t>市场调研</w:t>
      </w:r>
      <w:r>
        <w:rPr>
          <w:rFonts w:hint="eastAsia"/>
          <w:b/>
          <w:sz w:val="44"/>
          <w:szCs w:val="44"/>
        </w:rPr>
        <w:t>函</w:t>
      </w:r>
    </w:p>
    <w:p>
      <w:pPr>
        <w:rPr>
          <w:rFonts w:asciiTheme="minorEastAsia" w:hAnsiTheme="minorEastAsia"/>
          <w:sz w:val="28"/>
          <w:szCs w:val="28"/>
        </w:rPr>
      </w:pPr>
      <w:r>
        <w:rPr>
          <w:rFonts w:hint="eastAsia" w:asciiTheme="minorEastAsia" w:hAnsiTheme="minorEastAsia"/>
          <w:sz w:val="28"/>
          <w:szCs w:val="28"/>
          <w:shd w:val="clear" w:color="auto" w:fill="FFFFFF"/>
        </w:rPr>
        <w:t xml:space="preserve">    我院拟了解</w:t>
      </w:r>
      <w:r>
        <w:rPr>
          <w:rFonts w:hint="eastAsia" w:asciiTheme="minorEastAsia" w:hAnsiTheme="minorEastAsia"/>
          <w:bCs/>
          <w:sz w:val="28"/>
          <w:szCs w:val="28"/>
        </w:rPr>
        <w:t>医院年度信息系统安全保障服务及等保测评服务</w:t>
      </w:r>
      <w:r>
        <w:rPr>
          <w:rFonts w:hint="eastAsia" w:asciiTheme="minorEastAsia" w:hAnsiTheme="minorEastAsia"/>
          <w:sz w:val="28"/>
          <w:szCs w:val="28"/>
          <w:shd w:val="clear" w:color="auto" w:fill="FFFFFF"/>
        </w:rPr>
        <w:t>的市场动态情况，现邀请有意向的单位根据我院对需求进行参与。参与办法如下：</w:t>
      </w:r>
    </w:p>
    <w:p>
      <w:pPr>
        <w:rPr>
          <w:rFonts w:cs="Times New Roman" w:asciiTheme="minorEastAsia" w:hAnsiTheme="minorEastAsia"/>
          <w:sz w:val="28"/>
          <w:szCs w:val="28"/>
          <w:shd w:val="clear" w:color="auto" w:fill="FFFFFF"/>
        </w:rPr>
      </w:pPr>
      <w:r>
        <w:rPr>
          <w:rStyle w:val="10"/>
          <w:rFonts w:hint="eastAsia" w:cs="宋体" w:asciiTheme="minorEastAsia" w:hAnsiTheme="minorEastAsia"/>
          <w:color w:val="333333"/>
          <w:sz w:val="28"/>
          <w:szCs w:val="28"/>
          <w:shd w:val="clear" w:color="auto" w:fill="FFFFFF"/>
        </w:rPr>
        <w:t>一、项目编号：</w:t>
      </w:r>
      <w:r>
        <w:rPr>
          <w:rFonts w:cs="Times New Roman" w:asciiTheme="minorEastAsia" w:hAnsiTheme="minorEastAsia"/>
          <w:sz w:val="28"/>
          <w:szCs w:val="28"/>
          <w:shd w:val="clear" w:color="auto" w:fill="FFFFFF"/>
        </w:rPr>
        <w:t xml:space="preserve"> </w:t>
      </w:r>
      <w:r>
        <w:rPr>
          <w:rFonts w:hint="eastAsia" w:cs="Times New Roman" w:asciiTheme="minorEastAsia" w:hAnsiTheme="minorEastAsia"/>
          <w:sz w:val="28"/>
          <w:szCs w:val="28"/>
          <w:shd w:val="clear" w:color="auto" w:fill="FFFFFF"/>
        </w:rPr>
        <w:t>20230613021（</w:t>
      </w:r>
      <w:r>
        <w:rPr>
          <w:rFonts w:cs="Times New Roman" w:asciiTheme="minorEastAsia" w:hAnsiTheme="minorEastAsia"/>
          <w:sz w:val="28"/>
          <w:szCs w:val="28"/>
          <w:shd w:val="clear" w:color="auto" w:fill="FFFFFF"/>
        </w:rPr>
        <w:t>117043</w:t>
      </w:r>
      <w:r>
        <w:rPr>
          <w:rFonts w:hint="eastAsia" w:cs="Times New Roman" w:asciiTheme="minorEastAsia" w:hAnsiTheme="minorEastAsia"/>
          <w:sz w:val="28"/>
          <w:szCs w:val="28"/>
          <w:shd w:val="clear" w:color="auto" w:fill="FFFFFF"/>
        </w:rPr>
        <w:t>）</w:t>
      </w:r>
    </w:p>
    <w:p>
      <w:pPr>
        <w:rPr>
          <w:rFonts w:asciiTheme="minorEastAsia" w:hAnsiTheme="minorEastAsia"/>
          <w:sz w:val="28"/>
          <w:szCs w:val="28"/>
        </w:rPr>
      </w:pPr>
      <w:r>
        <w:rPr>
          <w:rStyle w:val="10"/>
          <w:rFonts w:cs="Times New Roman" w:asciiTheme="minorEastAsia" w:hAnsiTheme="minorEastAsia"/>
          <w:color w:val="333333"/>
          <w:sz w:val="28"/>
          <w:szCs w:val="28"/>
          <w:shd w:val="clear" w:color="auto" w:fill="FFFFFF"/>
        </w:rPr>
        <w:t>二、</w:t>
      </w:r>
      <w:r>
        <w:rPr>
          <w:rStyle w:val="10"/>
          <w:rFonts w:hint="eastAsia" w:cs="宋体" w:asciiTheme="minorEastAsia" w:hAnsiTheme="minorEastAsia"/>
          <w:color w:val="333333"/>
          <w:sz w:val="28"/>
          <w:szCs w:val="28"/>
          <w:shd w:val="clear" w:color="auto" w:fill="FFFFFF"/>
        </w:rPr>
        <w:t>报名时间：</w:t>
      </w:r>
      <w:r>
        <w:rPr>
          <w:rFonts w:hint="eastAsia" w:asciiTheme="minorEastAsia" w:hAnsiTheme="minorEastAsia"/>
          <w:sz w:val="28"/>
          <w:szCs w:val="28"/>
          <w:shd w:val="clear" w:color="auto" w:fill="FFFFFF"/>
        </w:rPr>
        <w:t>公告发起之日起</w:t>
      </w:r>
      <w:r>
        <w:rPr>
          <w:rFonts w:hint="eastAsia" w:cs="Times New Roman" w:asciiTheme="minorEastAsia" w:hAnsiTheme="minorEastAsia"/>
          <w:sz w:val="28"/>
          <w:szCs w:val="28"/>
          <w:shd w:val="clear" w:color="auto" w:fill="FFFFFF"/>
        </w:rPr>
        <w:t>至2023年 6月 21日17:00</w:t>
      </w:r>
      <w:r>
        <w:rPr>
          <w:rFonts w:hint="eastAsia" w:asciiTheme="minorEastAsia" w:hAnsiTheme="minorEastAsia"/>
          <w:sz w:val="28"/>
          <w:szCs w:val="28"/>
          <w:shd w:val="clear" w:color="auto" w:fill="FFFFFF"/>
        </w:rPr>
        <w:t>。</w:t>
      </w:r>
    </w:p>
    <w:p>
      <w:pPr>
        <w:jc w:val="left"/>
        <w:rPr>
          <w:rFonts w:asciiTheme="minorEastAsia" w:hAnsiTheme="minorEastAsia"/>
          <w:b/>
          <w:bCs/>
          <w:sz w:val="28"/>
          <w:szCs w:val="28"/>
          <w:shd w:val="clear" w:color="auto" w:fill="FFFFFF"/>
        </w:rPr>
      </w:pPr>
      <w:r>
        <w:rPr>
          <w:rFonts w:cs="Times New Roman" w:asciiTheme="minorEastAsia" w:hAnsiTheme="minorEastAsia"/>
          <w:sz w:val="28"/>
          <w:szCs w:val="28"/>
          <w:shd w:val="clear" w:color="auto" w:fill="FFFFFF"/>
        </w:rPr>
        <w:t>三、</w:t>
      </w:r>
      <w:r>
        <w:rPr>
          <w:rStyle w:val="10"/>
          <w:rFonts w:hint="eastAsia" w:cs="宋体" w:asciiTheme="minorEastAsia" w:hAnsiTheme="minorEastAsia"/>
          <w:color w:val="333333"/>
          <w:sz w:val="28"/>
          <w:szCs w:val="28"/>
          <w:shd w:val="clear" w:color="auto" w:fill="FFFFFF"/>
        </w:rPr>
        <w:t>报名方式：</w:t>
      </w:r>
      <w:r>
        <w:rPr>
          <w:rFonts w:hint="eastAsia" w:asciiTheme="minorEastAsia" w:hAnsiTheme="minorEastAsia"/>
          <w:sz w:val="28"/>
          <w:szCs w:val="28"/>
          <w:shd w:val="clear" w:color="auto" w:fill="FFFFFF"/>
        </w:rPr>
        <w:t>请意向参与市场调研公司于截止时间前按报名材料要求提交：</w:t>
      </w:r>
      <w:r>
        <w:rPr>
          <w:rFonts w:hint="eastAsia" w:asciiTheme="minorEastAsia" w:hAnsiTheme="minorEastAsia"/>
          <w:b/>
          <w:bCs/>
          <w:sz w:val="28"/>
          <w:szCs w:val="28"/>
          <w:shd w:val="clear" w:color="auto" w:fill="FFFFFF"/>
        </w:rPr>
        <w:t>提供</w:t>
      </w:r>
      <w:r>
        <w:rPr>
          <w:rFonts w:hint="eastAsia" w:asciiTheme="minorEastAsia" w:hAnsiTheme="minorEastAsia"/>
          <w:b/>
          <w:bCs/>
          <w:color w:val="FF0000"/>
          <w:sz w:val="28"/>
          <w:szCs w:val="28"/>
          <w:shd w:val="clear" w:color="auto" w:fill="FFFFFF"/>
        </w:rPr>
        <w:t>纸质资料</w:t>
      </w:r>
      <w:r>
        <w:rPr>
          <w:rFonts w:hint="eastAsia" w:asciiTheme="minorEastAsia" w:hAnsiTheme="minorEastAsia"/>
          <w:b/>
          <w:bCs/>
          <w:sz w:val="28"/>
          <w:szCs w:val="28"/>
          <w:shd w:val="clear" w:color="auto" w:fill="FFFFFF"/>
        </w:rPr>
        <w:t>（加盖公章+密封）。</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联系人：刘生、陈老师 020-84427043</w:t>
      </w:r>
    </w:p>
    <w:p>
      <w:pPr>
        <w:jc w:val="left"/>
        <w:rPr>
          <w:rFonts w:asciiTheme="minorEastAsia" w:hAnsiTheme="minorEastAsia"/>
          <w:b/>
          <w:bCs/>
          <w:sz w:val="28"/>
          <w:szCs w:val="28"/>
          <w:shd w:val="clear" w:color="auto" w:fill="FFFFFF"/>
        </w:rPr>
      </w:pPr>
      <w:r>
        <w:rPr>
          <w:rFonts w:hint="eastAsia" w:asciiTheme="minorEastAsia" w:hAnsiTheme="minorEastAsia"/>
          <w:b/>
          <w:bCs/>
          <w:sz w:val="28"/>
          <w:szCs w:val="28"/>
          <w:shd w:val="clear" w:color="auto" w:fill="FFFFFF"/>
        </w:rPr>
        <w:t>资料递交地址：广州市海珠区江南大道南368-1号三楼总务科</w:t>
      </w:r>
    </w:p>
    <w:p>
      <w:pPr>
        <w:pStyle w:val="6"/>
        <w:shd w:val="clear" w:color="auto" w:fill="FFFFFF"/>
        <w:spacing w:before="0" w:beforeAutospacing="0" w:after="0" w:afterAutospacing="0" w:line="360" w:lineRule="auto"/>
        <w:contextualSpacing/>
        <w:jc w:val="both"/>
        <w:rPr>
          <w:rFonts w:asciiTheme="minorEastAsia" w:hAnsiTheme="minorEastAsia" w:eastAsiaTheme="minorEastAsia"/>
          <w:sz w:val="28"/>
          <w:szCs w:val="28"/>
        </w:rPr>
      </w:pPr>
      <w:r>
        <w:rPr>
          <w:rStyle w:val="10"/>
          <w:rFonts w:hint="eastAsia" w:asciiTheme="minorEastAsia" w:hAnsiTheme="minorEastAsia" w:eastAsiaTheme="minorEastAsia"/>
          <w:sz w:val="28"/>
          <w:szCs w:val="28"/>
        </w:rPr>
        <w:t>四、项目概况：</w:t>
      </w:r>
      <w:r>
        <w:rPr>
          <w:rFonts w:hint="eastAsia" w:asciiTheme="minorEastAsia" w:hAnsiTheme="minorEastAsia" w:eastAsiaTheme="minorEastAsia"/>
          <w:sz w:val="28"/>
          <w:szCs w:val="28"/>
        </w:rPr>
        <w:t>依据《中华人民共和国网络安全法》、《医疗卫生机构网络安全管理办法》等相关文件要求，拟开展本年度南方医科大学口腔医院信息系统安全保障服务及等保测评服务。本年度信息系统安全保障服务覆盖南方医科大学口腔医院（含四院区）所有业务系统（含在用及服务期内上线系统）、交换机设备、安全类设备、终端等。本年度等保测评服务覆盖南方医科大学口腔医院已定级备案的信息系统。</w:t>
      </w:r>
    </w:p>
    <w:p>
      <w:pPr>
        <w:rPr>
          <w:rFonts w:asciiTheme="minorEastAsia" w:hAnsiTheme="minorEastAsia"/>
          <w:b/>
          <w:sz w:val="28"/>
          <w:szCs w:val="28"/>
        </w:rPr>
      </w:pPr>
      <w:r>
        <w:rPr>
          <w:rFonts w:hint="eastAsia" w:asciiTheme="minorEastAsia" w:hAnsiTheme="minorEastAsia"/>
          <w:b/>
          <w:color w:val="000000"/>
          <w:sz w:val="28"/>
          <w:szCs w:val="28"/>
        </w:rPr>
        <w:t>五、项目名称：</w:t>
      </w:r>
      <w:r>
        <w:rPr>
          <w:rFonts w:hint="eastAsia" w:asciiTheme="minorEastAsia" w:hAnsiTheme="minorEastAsia"/>
          <w:bCs/>
          <w:sz w:val="28"/>
          <w:szCs w:val="28"/>
        </w:rPr>
        <w:t>南方医科大学口腔医院年度信息系统安全保障服务及等保测评服务</w:t>
      </w:r>
      <w:r>
        <w:rPr>
          <w:rFonts w:hint="eastAsia" w:asciiTheme="minorEastAsia" w:hAnsiTheme="minorEastAsia"/>
          <w:sz w:val="28"/>
          <w:szCs w:val="28"/>
        </w:rPr>
        <w:t>。</w:t>
      </w:r>
    </w:p>
    <w:p>
      <w:pPr>
        <w:autoSpaceDE w:val="0"/>
        <w:autoSpaceDN w:val="0"/>
        <w:spacing w:line="360" w:lineRule="auto"/>
        <w:rPr>
          <w:rFonts w:asciiTheme="minorEastAsia" w:hAnsiTheme="minorEastAsia"/>
          <w:sz w:val="28"/>
          <w:szCs w:val="28"/>
        </w:rPr>
      </w:pPr>
      <w:r>
        <w:rPr>
          <w:rFonts w:hint="eastAsia" w:asciiTheme="minorEastAsia" w:hAnsiTheme="minorEastAsia"/>
          <w:b/>
          <w:sz w:val="28"/>
          <w:szCs w:val="28"/>
        </w:rPr>
        <w:t>六、服务地点：</w:t>
      </w:r>
      <w:r>
        <w:rPr>
          <w:rFonts w:hint="eastAsia" w:asciiTheme="minorEastAsia" w:hAnsiTheme="minorEastAsia"/>
          <w:sz w:val="28"/>
          <w:szCs w:val="28"/>
        </w:rPr>
        <w:t>南方医科大学口腔医院</w:t>
      </w:r>
    </w:p>
    <w:p>
      <w:pPr>
        <w:autoSpaceDE w:val="0"/>
        <w:autoSpaceDN w:val="0"/>
        <w:spacing w:line="360" w:lineRule="auto"/>
        <w:ind w:firstLine="910" w:firstLineChars="325"/>
        <w:rPr>
          <w:rFonts w:asciiTheme="minorEastAsia" w:hAnsiTheme="minorEastAsia"/>
          <w:sz w:val="28"/>
          <w:szCs w:val="28"/>
        </w:rPr>
      </w:pPr>
      <w:r>
        <w:rPr>
          <w:rFonts w:hint="eastAsia" w:asciiTheme="minorEastAsia" w:hAnsiTheme="minorEastAsia"/>
          <w:sz w:val="28"/>
          <w:szCs w:val="28"/>
        </w:rPr>
        <w:t>地址：广州市江南大道南366号。</w:t>
      </w:r>
    </w:p>
    <w:p>
      <w:pPr>
        <w:pStyle w:val="6"/>
        <w:shd w:val="clear" w:color="auto" w:fill="FFFFFF"/>
        <w:spacing w:before="0" w:beforeAutospacing="0" w:after="0" w:afterAutospacing="0" w:line="360" w:lineRule="auto"/>
        <w:contextualSpacing/>
        <w:jc w:val="both"/>
        <w:rPr>
          <w:rFonts w:asciiTheme="minorEastAsia" w:hAnsiTheme="minorEastAsia" w:eastAsiaTheme="minorEastAsia"/>
          <w:b/>
          <w:bCs/>
          <w:sz w:val="28"/>
          <w:szCs w:val="28"/>
        </w:rPr>
      </w:pPr>
      <w:r>
        <w:rPr>
          <w:rFonts w:hint="eastAsia" w:asciiTheme="minorEastAsia" w:hAnsiTheme="minorEastAsia" w:eastAsiaTheme="minorEastAsia"/>
          <w:sz w:val="28"/>
          <w:szCs w:val="28"/>
        </w:rPr>
        <w:t>七、</w:t>
      </w:r>
      <w:r>
        <w:rPr>
          <w:rFonts w:hint="eastAsia" w:asciiTheme="minorEastAsia" w:hAnsiTheme="minorEastAsia" w:eastAsiaTheme="minorEastAsia"/>
          <w:b/>
          <w:bCs/>
          <w:sz w:val="28"/>
          <w:szCs w:val="28"/>
        </w:rPr>
        <w:t>提供服务保障方案应至少包括如下内容（详见附件一）：</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hint="eastAsia" w:asciiTheme="minorEastAsia" w:hAnsiTheme="minorEastAsia" w:eastAsiaTheme="minorEastAsia"/>
          <w:sz w:val="28"/>
          <w:szCs w:val="28"/>
        </w:rPr>
        <w:t>1、资产发现：互联网资产发现、内网资产发现；</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、风险评估：系统层漏洞扫描、</w:t>
      </w:r>
      <w:r>
        <w:rPr>
          <w:rFonts w:asciiTheme="minorEastAsia" w:hAnsiTheme="minorEastAsia" w:eastAsiaTheme="minorEastAsia"/>
          <w:sz w:val="28"/>
          <w:szCs w:val="28"/>
        </w:rPr>
        <w:t>web渗透测试</w:t>
      </w:r>
      <w:r>
        <w:rPr>
          <w:rFonts w:hint="eastAsia" w:asciiTheme="minorEastAsia" w:hAnsiTheme="minorEastAsia" w:eastAsiaTheme="minorEastAsia"/>
          <w:sz w:val="28"/>
          <w:szCs w:val="28"/>
        </w:rPr>
        <w:t>、基线检查、新系统上线安全评估；</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、风险保护：网站安全监测服务、安全意识培训、网络与安全检查专项检查、安全预警通告；</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、风险响应：</w:t>
      </w:r>
      <w:r>
        <w:rPr>
          <w:rFonts w:hint="eastAsia" w:asciiTheme="minorEastAsia" w:hAnsiTheme="minorEastAsia" w:eastAsiaTheme="minorEastAsia"/>
          <w:sz w:val="28"/>
          <w:szCs w:val="28"/>
          <w:shd w:val="clear" w:color="auto" w:fill="FFFFFF"/>
        </w:rPr>
        <w:t>安全运行机制优化</w:t>
      </w:r>
      <w:r>
        <w:rPr>
          <w:rFonts w:hint="eastAsia" w:asciiTheme="minorEastAsia" w:hAnsiTheme="minorEastAsia" w:eastAsiaTheme="minorEastAsia"/>
          <w:sz w:val="28"/>
          <w:szCs w:val="28"/>
        </w:rPr>
        <w:t>、安全事件应急响应、</w:t>
      </w:r>
      <w:r>
        <w:rPr>
          <w:rFonts w:hint="eastAsia" w:asciiTheme="minorEastAsia" w:hAnsiTheme="minorEastAsia" w:eastAsiaTheme="minorEastAsia"/>
          <w:sz w:val="28"/>
          <w:szCs w:val="28"/>
          <w:shd w:val="clear" w:color="auto" w:fill="FFFFFF"/>
        </w:rPr>
        <w:t>安全事件应急演练</w:t>
      </w:r>
      <w:r>
        <w:rPr>
          <w:rFonts w:hint="eastAsia" w:asciiTheme="minorEastAsia" w:hAnsiTheme="minorEastAsia" w:eastAsiaTheme="minorEastAsia"/>
          <w:sz w:val="28"/>
          <w:szCs w:val="28"/>
        </w:rPr>
        <w:t>；</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、态势感知安全运营</w:t>
      </w:r>
      <w:r>
        <w:rPr>
          <w:rFonts w:asciiTheme="minorEastAsia" w:hAnsiTheme="minorEastAsia" w:eastAsiaTheme="minorEastAsia"/>
          <w:sz w:val="28"/>
          <w:szCs w:val="28"/>
        </w:rPr>
        <w:t>管理检测与响应服务（MSS服务）</w:t>
      </w:r>
      <w:r>
        <w:rPr>
          <w:rFonts w:hint="eastAsia" w:asciiTheme="minorEastAsia" w:hAnsiTheme="minorEastAsia" w:eastAsiaTheme="minorEastAsia"/>
          <w:sz w:val="28"/>
          <w:szCs w:val="28"/>
        </w:rPr>
        <w:t>；</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、重保时期威胁专家研判服务；</w:t>
      </w:r>
    </w:p>
    <w:p>
      <w:pPr>
        <w:spacing w:line="360" w:lineRule="auto"/>
        <w:ind w:firstLine="700" w:firstLineChars="250"/>
        <w:rPr>
          <w:rFonts w:asciiTheme="minorEastAsia" w:hAnsiTheme="minorEastAsia"/>
          <w:sz w:val="28"/>
          <w:szCs w:val="28"/>
        </w:rPr>
      </w:pPr>
      <w:r>
        <w:rPr>
          <w:rFonts w:asciiTheme="minorEastAsia" w:hAnsiTheme="minorEastAsia"/>
          <w:sz w:val="28"/>
          <w:szCs w:val="28"/>
        </w:rPr>
        <w:t>7</w:t>
      </w:r>
      <w:r>
        <w:rPr>
          <w:rFonts w:hint="eastAsia" w:asciiTheme="minorEastAsia" w:hAnsiTheme="minorEastAsia"/>
          <w:sz w:val="28"/>
          <w:szCs w:val="28"/>
        </w:rPr>
        <w:t>、等级保护</w:t>
      </w:r>
      <w:r>
        <w:rPr>
          <w:rFonts w:asciiTheme="minorEastAsia" w:hAnsiTheme="minorEastAsia"/>
          <w:sz w:val="28"/>
          <w:szCs w:val="28"/>
        </w:rPr>
        <w:t>测评服务</w:t>
      </w:r>
      <w:r>
        <w:rPr>
          <w:rFonts w:hint="eastAsia" w:asciiTheme="minorEastAsia" w:hAnsiTheme="minorEastAsia"/>
          <w:sz w:val="28"/>
          <w:szCs w:val="28"/>
        </w:rPr>
        <w:t>。</w:t>
      </w:r>
    </w:p>
    <w:p>
      <w:pPr>
        <w:spacing w:line="360" w:lineRule="auto"/>
        <w:rPr>
          <w:rFonts w:asciiTheme="minorEastAsia" w:hAnsiTheme="minorEastAsia"/>
          <w:b/>
          <w:sz w:val="28"/>
          <w:szCs w:val="28"/>
        </w:rPr>
      </w:pPr>
      <w:r>
        <w:rPr>
          <w:rFonts w:hint="eastAsia" w:asciiTheme="minorEastAsia" w:hAnsiTheme="minorEastAsia"/>
          <w:b/>
          <w:sz w:val="28"/>
          <w:szCs w:val="28"/>
        </w:rPr>
        <w:t>八、</w:t>
      </w:r>
      <w:r>
        <w:rPr>
          <w:rFonts w:hint="eastAsia" w:asciiTheme="minorEastAsia" w:hAnsiTheme="minorEastAsia"/>
          <w:b/>
          <w:bCs/>
          <w:sz w:val="28"/>
          <w:szCs w:val="28"/>
        </w:rPr>
        <w:t>安全保障服务资质要求（提供相关证明文件加盖公章）</w:t>
      </w:r>
    </w:p>
    <w:p>
      <w:pPr>
        <w:spacing w:line="5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1、参加本项目投标的供应商必须是具有独立承担民事责任能力的在中华人民共和国境内注册的法人；</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 xml:space="preserve">中国信息界发展研究院颁发的信息化建设及服务能力评价一级资质； </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国家计算机网络应急技术处理协调中心CNCERT网络安全应急服务支撑单位（反网络诈骗领域 ）资质；</w:t>
      </w:r>
    </w:p>
    <w:p>
      <w:pPr>
        <w:spacing w:line="360" w:lineRule="auto"/>
        <w:ind w:firstLine="560" w:firstLineChars="200"/>
        <w:contextualSpacing/>
        <w:rPr>
          <w:rFonts w:asciiTheme="minorEastAsia" w:hAnsiTheme="minorEastAsia"/>
          <w:sz w:val="28"/>
          <w:szCs w:val="28"/>
        </w:rPr>
      </w:pPr>
      <w:r>
        <w:rPr>
          <w:rFonts w:asciiTheme="minorEastAsia" w:hAnsiTheme="minorEastAsia"/>
          <w:sz w:val="28"/>
          <w:szCs w:val="28"/>
        </w:rPr>
        <w:t>中国信息安全认证中心颁发的信息安全服务资质认证（安全运维服务类、风险评估服务类、应急处理服务类，信息系统安全集成服务类）；</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中国信息安全测评中心信息安全服务资质认证（安全开发类、安全工程类、风险评估类、云计算安全类）；</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 xml:space="preserve">国家互联网应急中心发布的CNCERT网络安全应急服务支撑单位； </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6、</w:t>
      </w:r>
      <w:r>
        <w:rPr>
          <w:rFonts w:asciiTheme="minorEastAsia" w:hAnsiTheme="minorEastAsia"/>
          <w:sz w:val="28"/>
          <w:szCs w:val="28"/>
        </w:rPr>
        <w:t>国家互联网应急中心发布的CNCERT 网络安全信息通报单位；</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7、</w:t>
      </w:r>
      <w:r>
        <w:rPr>
          <w:rFonts w:asciiTheme="minorEastAsia" w:hAnsiTheme="minorEastAsia"/>
          <w:sz w:val="28"/>
          <w:szCs w:val="28"/>
        </w:rPr>
        <w:t>国家信息安全漏洞库（CNNVD）技术支撑单位；</w:t>
      </w:r>
    </w:p>
    <w:p>
      <w:pPr>
        <w:spacing w:line="360" w:lineRule="auto"/>
        <w:ind w:firstLine="560" w:firstLineChars="200"/>
        <w:contextualSpacing/>
        <w:rPr>
          <w:rFonts w:asciiTheme="minorEastAsia" w:hAnsiTheme="minorEastAsia"/>
          <w:sz w:val="28"/>
          <w:szCs w:val="28"/>
        </w:rPr>
      </w:pPr>
      <w:r>
        <w:rPr>
          <w:rFonts w:hint="eastAsia" w:asciiTheme="minorEastAsia" w:hAnsiTheme="minorEastAsia"/>
          <w:sz w:val="28"/>
          <w:szCs w:val="28"/>
        </w:rPr>
        <w:t>8、</w:t>
      </w:r>
      <w:r>
        <w:rPr>
          <w:rFonts w:asciiTheme="minorEastAsia" w:hAnsiTheme="minorEastAsia"/>
          <w:sz w:val="28"/>
          <w:szCs w:val="28"/>
        </w:rPr>
        <w:t>具备安全漏洞挖掘能力。</w:t>
      </w:r>
    </w:p>
    <w:p>
      <w:pPr>
        <w:spacing w:line="500" w:lineRule="exact"/>
        <w:ind w:firstLine="560" w:firstLineChars="200"/>
        <w:rPr>
          <w:rFonts w:cs="仿宋" w:asciiTheme="minorEastAsia" w:hAnsiTheme="minorEastAsia"/>
          <w:sz w:val="28"/>
          <w:szCs w:val="28"/>
        </w:rPr>
      </w:pPr>
      <w:r>
        <w:rPr>
          <w:rFonts w:hint="eastAsia" w:cs="仿宋" w:asciiTheme="minorEastAsia" w:hAnsiTheme="minorEastAsia"/>
          <w:sz w:val="28"/>
          <w:szCs w:val="28"/>
        </w:rPr>
        <w:t>9.市级以上政府采购电子平台或具有实时公开征集供应商报价功能的网络采购平台供应商库中的供应商：被邀请投标单位须为市级以上政府采购电子平台或具有实时公开征集供应商报价功能的网络采购平台供应商库中的供应商，包括但不限于广东省政府采购网、广东省电子化采购执行平台、广州公共资源交易中心、广东省政府采购智慧云平台等；</w:t>
      </w:r>
    </w:p>
    <w:p>
      <w:pPr>
        <w:autoSpaceDE w:val="0"/>
        <w:autoSpaceDN w:val="0"/>
        <w:snapToGrid w:val="0"/>
        <w:spacing w:line="360" w:lineRule="auto"/>
        <w:ind w:firstLine="420" w:firstLineChars="150"/>
        <w:rPr>
          <w:rFonts w:cs="宋体" w:asciiTheme="minorEastAsia" w:hAnsiTheme="minorEastAsia"/>
          <w:bCs/>
          <w:kern w:val="0"/>
          <w:sz w:val="28"/>
          <w:szCs w:val="28"/>
        </w:rPr>
      </w:pPr>
      <w:r>
        <w:rPr>
          <w:rFonts w:hint="eastAsia" w:cs="宋体" w:asciiTheme="minorEastAsia" w:hAnsiTheme="minorEastAsia"/>
          <w:bCs/>
          <w:kern w:val="0"/>
          <w:sz w:val="28"/>
          <w:szCs w:val="28"/>
        </w:rPr>
        <w:t>10.本项目不允许联合体投标。</w:t>
      </w:r>
    </w:p>
    <w:p>
      <w:pPr>
        <w:pStyle w:val="6"/>
        <w:shd w:val="clear" w:color="auto" w:fill="FFFFFF"/>
        <w:spacing w:before="0" w:beforeAutospacing="0" w:after="0" w:afterAutospacing="0" w:line="360" w:lineRule="auto"/>
        <w:ind w:firstLine="480"/>
        <w:contextualSpacing/>
        <w:jc w:val="both"/>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九、等级保护测评资质要求：</w:t>
      </w:r>
    </w:p>
    <w:p>
      <w:pPr>
        <w:autoSpaceDE w:val="0"/>
        <w:autoSpaceDN w:val="0"/>
        <w:snapToGrid w:val="0"/>
        <w:spacing w:line="360" w:lineRule="auto"/>
        <w:rPr>
          <w:rFonts w:cs="宋体" w:asciiTheme="minorEastAsia" w:hAnsiTheme="minorEastAsia"/>
          <w:bCs/>
          <w:kern w:val="0"/>
          <w:sz w:val="28"/>
          <w:szCs w:val="28"/>
        </w:rPr>
      </w:pPr>
      <w:r>
        <w:rPr>
          <w:rFonts w:hint="eastAsia" w:asciiTheme="minorEastAsia" w:hAnsiTheme="minorEastAsia"/>
          <w:sz w:val="28"/>
          <w:szCs w:val="28"/>
        </w:rPr>
        <w:t>1、具有国家信息安全测评信息安全服务资质证书（提供相关证书复印件加盖公章）</w:t>
      </w:r>
    </w:p>
    <w:p>
      <w:pPr>
        <w:autoSpaceDE w:val="0"/>
        <w:autoSpaceDN w:val="0"/>
        <w:snapToGrid w:val="0"/>
        <w:spacing w:line="360" w:lineRule="auto"/>
        <w:ind w:firstLine="420" w:firstLineChars="150"/>
        <w:rPr>
          <w:rFonts w:cs="宋体" w:asciiTheme="minorEastAsia" w:hAnsiTheme="minorEastAsia"/>
          <w:bCs/>
          <w:kern w:val="0"/>
          <w:sz w:val="28"/>
          <w:szCs w:val="28"/>
        </w:rPr>
      </w:pPr>
      <w:r>
        <w:rPr>
          <w:rFonts w:hint="eastAsia" w:cs="宋体" w:asciiTheme="minorEastAsia" w:hAnsiTheme="minorEastAsia"/>
          <w:bCs/>
          <w:kern w:val="0"/>
          <w:sz w:val="28"/>
          <w:szCs w:val="28"/>
        </w:rPr>
        <w:t>十</w:t>
      </w:r>
      <w:r>
        <w:rPr>
          <w:rFonts w:cs="Times New Roman" w:asciiTheme="minorEastAsia" w:hAnsiTheme="minorEastAsia"/>
          <w:sz w:val="28"/>
          <w:szCs w:val="28"/>
          <w:shd w:val="clear" w:color="auto" w:fill="FFFFFF"/>
        </w:rPr>
        <w:t>、</w:t>
      </w:r>
      <w:r>
        <w:rPr>
          <w:rStyle w:val="10"/>
          <w:rFonts w:hint="eastAsia" w:asciiTheme="minorEastAsia" w:hAnsiTheme="minorEastAsia"/>
          <w:sz w:val="28"/>
          <w:szCs w:val="28"/>
        </w:rPr>
        <w:t>报名资料（所有资料均需盖公章）：</w:t>
      </w:r>
    </w:p>
    <w:p>
      <w:pPr>
        <w:spacing w:line="500" w:lineRule="exact"/>
        <w:ind w:firstLine="560" w:firstLineChars="200"/>
        <w:rPr>
          <w:rFonts w:cs="仿宋" w:asciiTheme="minorEastAsia" w:hAnsiTheme="minorEastAsia"/>
          <w:sz w:val="28"/>
          <w:szCs w:val="28"/>
        </w:rPr>
      </w:pPr>
      <w:r>
        <w:rPr>
          <w:rFonts w:hint="eastAsia" w:cs="Times New Roman" w:asciiTheme="minorEastAsia" w:hAnsiTheme="minorEastAsia"/>
          <w:sz w:val="28"/>
          <w:szCs w:val="28"/>
          <w:shd w:val="clear" w:color="auto" w:fill="FFFFFF"/>
        </w:rPr>
        <w:t>注：报名材料需设置封面页及目录页，封面页内容包括项目编号、项目名称、公司名称、项目联系人姓名及手机号码，页面内容按市场调研函序列编排，报价函放置最后。（</w:t>
      </w:r>
      <w:r>
        <w:rPr>
          <w:rFonts w:hint="eastAsia" w:cs="仿宋" w:asciiTheme="minorEastAsia" w:hAnsiTheme="minorEastAsia"/>
          <w:sz w:val="28"/>
          <w:szCs w:val="28"/>
        </w:rPr>
        <w:t>报价方式：总价包干）</w:t>
      </w:r>
    </w:p>
    <w:p>
      <w:pPr>
        <w:rPr>
          <w:rFonts w:cs="Times New Roman" w:asciiTheme="minorEastAsia" w:hAnsiTheme="minorEastAsia"/>
          <w:sz w:val="28"/>
          <w:szCs w:val="28"/>
          <w:shd w:val="clear" w:color="auto" w:fill="FFFFFF"/>
        </w:rPr>
      </w:pPr>
    </w:p>
    <w:p>
      <w:pPr>
        <w:rPr>
          <w:rFonts w:cs="Times New Roman" w:asciiTheme="minorEastAsia" w:hAnsiTheme="minorEastAsia"/>
          <w:sz w:val="28"/>
          <w:szCs w:val="28"/>
          <w:shd w:val="clear" w:color="auto" w:fill="FFFFFF"/>
        </w:rPr>
      </w:pPr>
      <w:r>
        <w:rPr>
          <w:rFonts w:hint="eastAsia" w:cs="Times New Roman" w:asciiTheme="minorEastAsia" w:hAnsiTheme="minorEastAsia"/>
          <w:sz w:val="28"/>
          <w:szCs w:val="28"/>
          <w:shd w:val="clear" w:color="auto" w:fill="FFFFFF"/>
        </w:rPr>
        <w:t>十一</w:t>
      </w:r>
      <w:r>
        <w:rPr>
          <w:rFonts w:cs="Times New Roman" w:asciiTheme="minorEastAsia" w:hAnsiTheme="minorEastAsia"/>
          <w:sz w:val="28"/>
          <w:szCs w:val="28"/>
          <w:shd w:val="clear" w:color="auto" w:fill="FFFFFF"/>
        </w:rPr>
        <w:t>、</w:t>
      </w:r>
      <w:r>
        <w:rPr>
          <w:rStyle w:val="10"/>
          <w:rFonts w:hint="eastAsia" w:asciiTheme="minorEastAsia" w:hAnsiTheme="minorEastAsia"/>
          <w:sz w:val="28"/>
          <w:szCs w:val="28"/>
        </w:rPr>
        <w:t>如需组织现场市场调研会议，将另行通知已报名企业。</w:t>
      </w:r>
    </w:p>
    <w:p>
      <w:pPr>
        <w:rPr>
          <w:rFonts w:asciiTheme="minorEastAsia" w:hAnsiTheme="minorEastAsia"/>
          <w:sz w:val="28"/>
          <w:szCs w:val="28"/>
        </w:rPr>
      </w:pPr>
      <w:r>
        <w:rPr>
          <w:rFonts w:hint="eastAsia" w:cs="Times New Roman" w:asciiTheme="minorEastAsia" w:hAnsiTheme="minorEastAsia"/>
          <w:sz w:val="28"/>
          <w:szCs w:val="28"/>
          <w:shd w:val="clear" w:color="auto" w:fill="FFFFFF"/>
        </w:rPr>
        <w:t xml:space="preserve">    注：如有虚假资料、企业违规行为，一经发现，将列入我院供应商黑名单。</w:t>
      </w:r>
    </w:p>
    <w:p>
      <w:pPr>
        <w:pStyle w:val="6"/>
        <w:shd w:val="clear" w:color="auto" w:fill="FFFFFF"/>
        <w:spacing w:before="0" w:beforeAutospacing="0" w:after="0" w:afterAutospacing="0" w:line="360" w:lineRule="auto"/>
        <w:contextualSpacing/>
        <w:rPr>
          <w:rFonts w:asciiTheme="minorEastAsia" w:hAnsiTheme="minorEastAsia" w:eastAsiaTheme="minorEastAsia"/>
          <w:sz w:val="28"/>
          <w:szCs w:val="28"/>
        </w:rPr>
      </w:pPr>
      <w:r>
        <w:rPr>
          <w:rFonts w:hint="eastAsia" w:asciiTheme="minorEastAsia" w:hAnsiTheme="minorEastAsia" w:eastAsiaTheme="minorEastAsia"/>
          <w:sz w:val="28"/>
          <w:szCs w:val="28"/>
        </w:rPr>
        <w:t>附件一：</w:t>
      </w:r>
    </w:p>
    <w:tbl>
      <w:tblPr>
        <w:tblStyle w:val="7"/>
        <w:tblW w:w="9758" w:type="dxa"/>
        <w:tblInd w:w="91" w:type="dxa"/>
        <w:tblLayout w:type="autofit"/>
        <w:tblCellMar>
          <w:top w:w="0" w:type="dxa"/>
          <w:left w:w="108" w:type="dxa"/>
          <w:bottom w:w="0" w:type="dxa"/>
          <w:right w:w="108" w:type="dxa"/>
        </w:tblCellMar>
      </w:tblPr>
      <w:tblGrid>
        <w:gridCol w:w="678"/>
        <w:gridCol w:w="1161"/>
        <w:gridCol w:w="1284"/>
        <w:gridCol w:w="6635"/>
      </w:tblGrid>
      <w:tr>
        <w:tblPrEx>
          <w:tblCellMar>
            <w:top w:w="0" w:type="dxa"/>
            <w:left w:w="108" w:type="dxa"/>
            <w:bottom w:w="0" w:type="dxa"/>
            <w:right w:w="108" w:type="dxa"/>
          </w:tblCellMar>
        </w:tblPrEx>
        <w:trPr>
          <w:trHeight w:val="351" w:hRule="atLeast"/>
        </w:trPr>
        <w:tc>
          <w:tcPr>
            <w:tcW w:w="67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序号</w:t>
            </w:r>
          </w:p>
        </w:tc>
        <w:tc>
          <w:tcPr>
            <w:tcW w:w="11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服务分类</w:t>
            </w:r>
          </w:p>
        </w:tc>
        <w:tc>
          <w:tcPr>
            <w:tcW w:w="1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服务名称</w:t>
            </w:r>
          </w:p>
        </w:tc>
        <w:tc>
          <w:tcPr>
            <w:tcW w:w="6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服务内容描述</w:t>
            </w:r>
          </w:p>
        </w:tc>
      </w:tr>
      <w:tr>
        <w:tblPrEx>
          <w:tblCellMar>
            <w:top w:w="0" w:type="dxa"/>
            <w:left w:w="108" w:type="dxa"/>
            <w:bottom w:w="0" w:type="dxa"/>
            <w:right w:w="108" w:type="dxa"/>
          </w:tblCellMar>
        </w:tblPrEx>
        <w:trPr>
          <w:trHeight w:val="246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w:t>
            </w:r>
          </w:p>
        </w:tc>
        <w:tc>
          <w:tcPr>
            <w:tcW w:w="116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网络资产发现</w:t>
            </w: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互联网资产发现</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通过专用互联网自动化发现平台，结合调研的方式确定互联网资产范围，之后基于IP或域名，采用 WEB扫描技术、操作系统探测技术、端口的探测技术、服务探测技术等各类探测技术，对互联网侧的主机/服务器、安全设备、网络设备、工控设备、WEB应用、中间件、数据库、邮件系统和DNS系统等进行主动发现，并生成资产及应用列表，列表中不仅包括设备类型、域名、IP、端口，更可深入识别运行在资产上的中间件、应用、技术架构的详细情况（类型、版本、服务名称等）。发现的资产能够自动化导入现有态势感知安全运营平台，协助进行资产运营。</w:t>
            </w:r>
          </w:p>
        </w:tc>
      </w:tr>
      <w:tr>
        <w:tblPrEx>
          <w:tblCellMar>
            <w:top w:w="0" w:type="dxa"/>
            <w:left w:w="108" w:type="dxa"/>
            <w:bottom w:w="0" w:type="dxa"/>
            <w:right w:w="108" w:type="dxa"/>
          </w:tblCellMar>
        </w:tblPrEx>
        <w:trPr>
          <w:trHeight w:val="12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2</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内网资产发现服务</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利用工具并结合现场调研，对内网资产进行资产发现，要对服务器资产与web资产进行重点发现，并对资产安全进行风险分析，分析包括服务器端口开放情况、不常见服务开放情况、服务端口风险情况、web资产风险情况等，并提供专业整改建议，帮助医院网络安全管理部门梳理内网资产，使医院网络安全管理部门掌握真实资产状况。</w:t>
            </w:r>
          </w:p>
        </w:tc>
      </w:tr>
      <w:tr>
        <w:tblPrEx>
          <w:tblCellMar>
            <w:top w:w="0" w:type="dxa"/>
            <w:left w:w="108" w:type="dxa"/>
            <w:bottom w:w="0" w:type="dxa"/>
            <w:right w:w="108" w:type="dxa"/>
          </w:tblCellMar>
        </w:tblPrEx>
        <w:trPr>
          <w:trHeight w:val="15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3</w:t>
            </w:r>
          </w:p>
        </w:tc>
        <w:tc>
          <w:tcPr>
            <w:tcW w:w="1161"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风险评估</w:t>
            </w: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新系统上线安评</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对新上线系统进行安全评估，发现系统存在的技术风险，防止系统带伤上线，一般由漏洞扫描、配置核查、渗透测试等多个服务组成。漏洞扫描、配置核查、渗透测试服务要与风险识别中的对应服务要求提供专业服务。</w:t>
            </w:r>
          </w:p>
        </w:tc>
      </w:tr>
      <w:tr>
        <w:tblPrEx>
          <w:tblCellMar>
            <w:top w:w="0" w:type="dxa"/>
            <w:left w:w="108" w:type="dxa"/>
            <w:bottom w:w="0" w:type="dxa"/>
            <w:right w:w="108" w:type="dxa"/>
          </w:tblCellMar>
        </w:tblPrEx>
        <w:trPr>
          <w:trHeight w:val="65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4</w:t>
            </w: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系统层漏洞扫描</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采用远程安全扫描系统，通过定制的扫描规则，形成安全扫描策略文档，对服务器、网络设备、安全设备等进行自动化安全扫描，人工验证扫描结果并输出安全扫描报告及修复建议。</w:t>
            </w:r>
          </w:p>
        </w:tc>
      </w:tr>
      <w:tr>
        <w:tblPrEx>
          <w:tblCellMar>
            <w:top w:w="0" w:type="dxa"/>
            <w:left w:w="108" w:type="dxa"/>
            <w:bottom w:w="0" w:type="dxa"/>
            <w:right w:w="108" w:type="dxa"/>
          </w:tblCellMar>
        </w:tblPrEx>
        <w:trPr>
          <w:trHeight w:val="12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5</w:t>
            </w: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web渗透测试</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通过模拟黑客使用的工具、分析方法对网站进行安全测试，并结合渗透测试智能工具（非漏洞扫描工具）扫描结果，由专家研判人员进行深入的手工测试和分析，识别工具弱点扫描无法发现的问题。主要分析内容包括逻辑缺陷、上传绕过、输入输出校验绕过、数据篡改、功能绕过、异常错误以及其他专项内容。</w:t>
            </w:r>
          </w:p>
        </w:tc>
      </w:tr>
      <w:tr>
        <w:tblPrEx>
          <w:tblCellMar>
            <w:top w:w="0" w:type="dxa"/>
            <w:left w:w="108" w:type="dxa"/>
            <w:bottom w:w="0" w:type="dxa"/>
            <w:right w:w="108" w:type="dxa"/>
          </w:tblCellMar>
        </w:tblPrEx>
        <w:trPr>
          <w:trHeight w:val="12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6</w:t>
            </w:r>
          </w:p>
        </w:tc>
        <w:tc>
          <w:tcPr>
            <w:tcW w:w="11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基线检查</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根据既定的检查规范及方法，采用人工检查用表（checklist）、脚本程序或基线扫描工具对评估目标范围内的主机系统安全、数据库安全、中间件安全等进行系统的策略配置、服务配置、保护措施以及系统和软件升级、更新情况，是否存在后门等内容进行检查。</w:t>
            </w:r>
          </w:p>
        </w:tc>
      </w:tr>
      <w:tr>
        <w:tblPrEx>
          <w:tblCellMar>
            <w:top w:w="0" w:type="dxa"/>
            <w:left w:w="108" w:type="dxa"/>
            <w:bottom w:w="0" w:type="dxa"/>
            <w:right w:w="108" w:type="dxa"/>
          </w:tblCellMar>
        </w:tblPrEx>
        <w:trPr>
          <w:trHeight w:val="133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7</w:t>
            </w:r>
          </w:p>
        </w:tc>
        <w:tc>
          <w:tcPr>
            <w:tcW w:w="116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风险保护</w:t>
            </w: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安全预警通告</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基于服务商自身威胁情报、安全大数据以及攻防能力推出网络安全情报类资讯服务，</w:t>
            </w:r>
            <w:r>
              <w:rPr>
                <w:rStyle w:val="24"/>
                <w:rFonts w:hint="default" w:asciiTheme="minorEastAsia" w:hAnsiTheme="minorEastAsia" w:eastAsiaTheme="minorEastAsia"/>
                <w:sz w:val="28"/>
                <w:szCs w:val="28"/>
              </w:rPr>
              <w:t>定期以邮件或当面沟通形式向医院</w:t>
            </w:r>
            <w:r>
              <w:rPr>
                <w:rStyle w:val="25"/>
                <w:rFonts w:hint="default" w:asciiTheme="minorEastAsia" w:hAnsiTheme="minorEastAsia" w:eastAsiaTheme="minorEastAsia"/>
                <w:sz w:val="28"/>
                <w:szCs w:val="28"/>
              </w:rPr>
              <w:t>汇总月度的高危漏洞、安全热点，威胁情报解读精华及漏洞分析统计，为用户提供有价值的网络安全态势推送</w:t>
            </w:r>
            <w:r>
              <w:rPr>
                <w:rStyle w:val="24"/>
                <w:rFonts w:hint="default" w:asciiTheme="minorEastAsia" w:hAnsiTheme="minorEastAsia" w:eastAsiaTheme="minorEastAsia"/>
                <w:sz w:val="28"/>
                <w:szCs w:val="28"/>
              </w:rPr>
              <w:t>；对于紧急重大类漏洞信息，以最快时间通过邮件或电话向医院告知漏洞危害、影响范围及应对方案等</w:t>
            </w:r>
          </w:p>
        </w:tc>
      </w:tr>
      <w:tr>
        <w:tblPrEx>
          <w:tblCellMar>
            <w:top w:w="0" w:type="dxa"/>
            <w:left w:w="108" w:type="dxa"/>
            <w:bottom w:w="0" w:type="dxa"/>
            <w:right w:w="108" w:type="dxa"/>
          </w:tblCellMar>
        </w:tblPrEx>
        <w:trPr>
          <w:trHeight w:val="260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8</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网络与安全检查专项检查服务</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为配合监管层的检查，依据省卫健委、省网信办《关于开展卫生健康行业个人信息安全保护专项行动的通知》与《省卫生健康系统网络与数据安全工作任务清单》，从组织管理、制度规范、资产管理、合规保障、信息通报、监测预警、应急处置，安全加固、供应链安全管理、教育教训与管理保障11个大项81个小项进行安全自查，并给出加固整改建议。检查方式包括但不限于制度调阅、现场调研、网络架构分析、远程现场各种技术校验等。</w:t>
            </w:r>
          </w:p>
        </w:tc>
      </w:tr>
      <w:tr>
        <w:tblPrEx>
          <w:tblCellMar>
            <w:top w:w="0" w:type="dxa"/>
            <w:left w:w="108" w:type="dxa"/>
            <w:bottom w:w="0" w:type="dxa"/>
            <w:right w:w="108" w:type="dxa"/>
          </w:tblCellMar>
        </w:tblPrEx>
        <w:trPr>
          <w:trHeight w:val="95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9</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nil"/>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安全意识培训</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面向单位全员开展专业的网络与信息安全意识培训，提高受众个人隐私保护、常规攻击防护、信息安全管理等能力，增强个人网络安全防护意识，规避网络攻击风险。培训内容交付包括不限于现场培训、现场演示、安全意味海报、易拉宝、意识手册等。</w:t>
            </w:r>
          </w:p>
        </w:tc>
      </w:tr>
      <w:tr>
        <w:tblPrEx>
          <w:tblCellMar>
            <w:top w:w="0" w:type="dxa"/>
            <w:left w:w="108" w:type="dxa"/>
            <w:bottom w:w="0" w:type="dxa"/>
            <w:right w:w="108" w:type="dxa"/>
          </w:tblCellMar>
        </w:tblPrEx>
        <w:trPr>
          <w:trHeight w:val="12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10</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网站安全监测</w:t>
            </w:r>
          </w:p>
        </w:tc>
        <w:tc>
          <w:tcPr>
            <w:tcW w:w="6635" w:type="dxa"/>
            <w:tcBorders>
              <w:top w:val="nil"/>
              <w:left w:val="nil"/>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提供专用SAAS平台进行7*24小时监测服务，主要包括漏洞扫描、木马分析、篡改监测、关键字监测、网站可用性监测，提供全面的事前、事中的安全监测。网站云监测服务活动包括网站状态安全监测、安全事件报警与响应、网站漏洞检测及网站监测报告编制等四项主要任务。</w:t>
            </w:r>
          </w:p>
        </w:tc>
      </w:tr>
      <w:tr>
        <w:tblPrEx>
          <w:tblCellMar>
            <w:top w:w="0" w:type="dxa"/>
            <w:left w:w="108" w:type="dxa"/>
            <w:bottom w:w="0" w:type="dxa"/>
            <w:right w:w="108" w:type="dxa"/>
          </w:tblCellMar>
        </w:tblPrEx>
        <w:trPr>
          <w:trHeight w:val="150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11</w:t>
            </w:r>
          </w:p>
        </w:tc>
        <w:tc>
          <w:tcPr>
            <w:tcW w:w="1161"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风险响应</w:t>
            </w:r>
          </w:p>
        </w:tc>
        <w:tc>
          <w:tcPr>
            <w:tcW w:w="1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安全运行机制优化</w:t>
            </w:r>
          </w:p>
        </w:tc>
        <w:tc>
          <w:tcPr>
            <w:tcW w:w="6635" w:type="dxa"/>
            <w:tcBorders>
              <w:top w:val="nil"/>
              <w:left w:val="nil"/>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根据本次安全保障范围，依据安全事件的不同类别，如网站系统面临的网页篡改、拒绝服务攻击、DNS劫持攻击、病毒与木马攻击、钓鱼攻击等情况，建立应急专项处置预案及操作手册，在发生安全事件时，各保障小组及网络安全值守组可以根据实际情况参考指导。工作内容包括现状调研、预案编制、访谈、检查、分析与编制。</w:t>
            </w:r>
          </w:p>
        </w:tc>
      </w:tr>
      <w:tr>
        <w:tblPrEx>
          <w:tblCellMar>
            <w:top w:w="0" w:type="dxa"/>
            <w:left w:w="108" w:type="dxa"/>
            <w:bottom w:w="0" w:type="dxa"/>
            <w:right w:w="108" w:type="dxa"/>
          </w:tblCellMar>
        </w:tblPrEx>
        <w:trPr>
          <w:trHeight w:val="127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12</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应急响应</w:t>
            </w:r>
          </w:p>
        </w:tc>
        <w:tc>
          <w:tcPr>
            <w:tcW w:w="6635" w:type="dxa"/>
            <w:tcBorders>
              <w:top w:val="nil"/>
              <w:left w:val="nil"/>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提供专用电话统一对接应急响应事件处理，根据事件类别，通过远程和现场支持的形式协助医院对遇到的突发性安全事件进行紧急分析和处理。主要工作内容包括：突发事件相关信息的收集、事件的分析、报告提交、问题解决建议等。紧急事件主要包括：病毒和蠕虫事件、黑客入侵事件等。</w:t>
            </w:r>
          </w:p>
        </w:tc>
      </w:tr>
      <w:tr>
        <w:tblPrEx>
          <w:tblCellMar>
            <w:top w:w="0" w:type="dxa"/>
            <w:left w:w="108" w:type="dxa"/>
            <w:bottom w:w="0" w:type="dxa"/>
            <w:right w:w="108" w:type="dxa"/>
          </w:tblCellMar>
        </w:tblPrEx>
        <w:trPr>
          <w:trHeight w:val="955"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13</w:t>
            </w:r>
          </w:p>
        </w:tc>
        <w:tc>
          <w:tcPr>
            <w:tcW w:w="1161" w:type="dxa"/>
            <w:vMerge w:val="continue"/>
            <w:tcBorders>
              <w:top w:val="nil"/>
              <w:left w:val="single" w:color="000000" w:sz="8" w:space="0"/>
              <w:bottom w:val="single" w:color="000000" w:sz="8" w:space="0"/>
              <w:right w:val="single" w:color="000000" w:sz="8" w:space="0"/>
            </w:tcBorders>
            <w:shd w:val="clear" w:color="auto" w:fill="FFFFFF"/>
            <w:vAlign w:val="center"/>
          </w:tcPr>
          <w:p>
            <w:pPr>
              <w:spacing w:line="276" w:lineRule="auto"/>
              <w:contextualSpacing/>
              <w:jc w:val="center"/>
              <w:rPr>
                <w:rFonts w:cs="宋体" w:asciiTheme="minorEastAsia" w:hAnsiTheme="minorEastAsia"/>
                <w:b/>
                <w:bCs/>
                <w:color w:val="000000"/>
                <w:sz w:val="28"/>
                <w:szCs w:val="28"/>
              </w:rPr>
            </w:pP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应急演练</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协助医院网络安全管理部门组织策划和开展应急演练，包括制定演练计划、编制演练工作方案、设计演练脚本、配合准备演练环境、动员与培训、演练过程记录和总结等工作。演练场景包括病毒事件应急演练与网络攻击事件应急演练。</w:t>
            </w:r>
          </w:p>
        </w:tc>
      </w:tr>
      <w:tr>
        <w:tblPrEx>
          <w:tblCellMar>
            <w:top w:w="0" w:type="dxa"/>
            <w:left w:w="108" w:type="dxa"/>
            <w:bottom w:w="0" w:type="dxa"/>
            <w:right w:w="108" w:type="dxa"/>
          </w:tblCellMar>
        </w:tblPrEx>
        <w:trPr>
          <w:trHeight w:val="238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14</w:t>
            </w:r>
          </w:p>
        </w:tc>
        <w:tc>
          <w:tcPr>
            <w:tcW w:w="1161"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态势感知安全运营（MSS服务）</w:t>
            </w:r>
          </w:p>
        </w:tc>
        <w:tc>
          <w:tcPr>
            <w:tcW w:w="1284" w:type="dxa"/>
            <w:tcBorders>
              <w:top w:val="nil"/>
              <w:left w:val="single" w:color="000000" w:sz="8" w:space="0"/>
              <w:bottom w:val="nil"/>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管理检测与响应服务</w:t>
            </w:r>
          </w:p>
        </w:tc>
        <w:tc>
          <w:tcPr>
            <w:tcW w:w="6635"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为医院现在有的NGSOC态势感知产品提供数据中心资产（IP）数量≤50个的安全托管服务：通过云端收集NGSOC平台的威胁告警包括流量设备告警、安全设备的告警、系统告警等数据，进行关联分析和研判，为医院提供资产、威胁、脆弱性等方面的综合分析服务，帮助医院网络安全管理部门精准识别和监测网络中的安全威胁，并对确认的威胁事件及时通知医院网络安全管理部门、主动进行响应，远程协助医院网络安全管理部门完成威胁事件的闭环处置工作，提供专业的运营指导及改进建议。</w:t>
            </w:r>
          </w:p>
        </w:tc>
      </w:tr>
      <w:tr>
        <w:tblPrEx>
          <w:tblCellMar>
            <w:top w:w="0" w:type="dxa"/>
            <w:left w:w="108" w:type="dxa"/>
            <w:bottom w:w="0" w:type="dxa"/>
            <w:right w:w="108" w:type="dxa"/>
          </w:tblCellMar>
        </w:tblPrEx>
        <w:trPr>
          <w:trHeight w:val="192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15</w:t>
            </w:r>
          </w:p>
        </w:tc>
        <w:tc>
          <w:tcPr>
            <w:tcW w:w="1161"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重保专项</w:t>
            </w:r>
          </w:p>
        </w:tc>
        <w:tc>
          <w:tcPr>
            <w:tcW w:w="128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重保威胁专家研判服务</w:t>
            </w:r>
          </w:p>
        </w:tc>
        <w:tc>
          <w:tcPr>
            <w:tcW w:w="6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专家研判人员分析研判依托现有流量威胁检测系统或态势感知系统，协助医院网络安全管理部门进行更复杂、更深入的安全威胁和事件研判，并且在失陷情况下结合主机、网络、数据库等各类安全日志、业务日志进行分析，对攻击影响范围、后果进行研判，发现安全防御体系和策略的缺陷，同时配合进行紧急整改。</w:t>
            </w:r>
          </w:p>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要求专家研判人员有利用现有流量威胁检测系统或态势感知系统进行重保研判经验。</w:t>
            </w:r>
          </w:p>
        </w:tc>
      </w:tr>
      <w:tr>
        <w:tblPrEx>
          <w:tblCellMar>
            <w:top w:w="0" w:type="dxa"/>
            <w:left w:w="108" w:type="dxa"/>
            <w:bottom w:w="0" w:type="dxa"/>
            <w:right w:w="108" w:type="dxa"/>
          </w:tblCellMar>
        </w:tblPrEx>
        <w:trPr>
          <w:trHeight w:val="2920" w:hRule="atLeast"/>
        </w:trPr>
        <w:tc>
          <w:tcPr>
            <w:tcW w:w="678"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16</w:t>
            </w:r>
          </w:p>
        </w:tc>
        <w:tc>
          <w:tcPr>
            <w:tcW w:w="1161"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等保测评</w:t>
            </w:r>
          </w:p>
        </w:tc>
        <w:tc>
          <w:tcPr>
            <w:tcW w:w="1284" w:type="dxa"/>
            <w:tcBorders>
              <w:top w:val="nil"/>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jc w:val="center"/>
              <w:textAlignment w:val="center"/>
              <w:rPr>
                <w:rFonts w:cs="宋体" w:asciiTheme="minorEastAsia" w:hAnsiTheme="minorEastAsia"/>
                <w:b/>
                <w:bCs/>
                <w:color w:val="000000"/>
                <w:sz w:val="28"/>
                <w:szCs w:val="28"/>
              </w:rPr>
            </w:pPr>
            <w:r>
              <w:rPr>
                <w:rFonts w:hint="eastAsia" w:cs="宋体" w:asciiTheme="minorEastAsia" w:hAnsiTheme="minorEastAsia"/>
                <w:b/>
                <w:bCs/>
                <w:color w:val="000000"/>
                <w:kern w:val="0"/>
                <w:sz w:val="28"/>
                <w:szCs w:val="28"/>
              </w:rPr>
              <w:t>等保测评服务</w:t>
            </w:r>
          </w:p>
        </w:tc>
        <w:tc>
          <w:tcPr>
            <w:tcW w:w="6635"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276" w:lineRule="auto"/>
              <w:contextualSpacing/>
              <w:textAlignment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1.等保辅助服务：安排专人完成业主单位系统调研及等保测评实施前期准备材料，统筹整个等级保护服务工作，交付《项目实施计划》及《被测对象调研表》。备注：年测系统不需重新备案；</w:t>
            </w:r>
          </w:p>
          <w:p>
            <w:pPr>
              <w:widowControl/>
              <w:spacing w:line="276" w:lineRule="auto"/>
              <w:contextualSpacing/>
              <w:textAlignment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2.根据等级保护相关技术标准对系统进行逐项测评和整体测评并出具《整改问题清单》；</w:t>
            </w:r>
          </w:p>
          <w:p>
            <w:pPr>
              <w:widowControl/>
              <w:spacing w:line="276" w:lineRule="auto"/>
              <w:contextualSpacing/>
              <w:textAlignment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2.完成系统的安全漏洞和渗透测试，根据检测情况提交漏洞和渗透测试报告。</w:t>
            </w:r>
          </w:p>
          <w:p>
            <w:pPr>
              <w:widowControl/>
              <w:spacing w:line="276" w:lineRule="auto"/>
              <w:contextualSpacing/>
              <w:textAlignment w:val="center"/>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3.整改咨询服务：针对《整改问题清单》提供不符合项的答疑解惑，协助指导软件公司开展软件整改，协助审核业主单位提交的整改材料，及时给与整改建议；</w:t>
            </w:r>
          </w:p>
          <w:p>
            <w:pPr>
              <w:widowControl/>
              <w:spacing w:line="276" w:lineRule="auto"/>
              <w:contextualSpacing/>
              <w:textAlignment w:val="center"/>
              <w:rPr>
                <w:rFonts w:cs="宋体" w:asciiTheme="minorEastAsia" w:hAnsiTheme="minorEastAsia"/>
                <w:color w:val="000000"/>
                <w:sz w:val="28"/>
                <w:szCs w:val="28"/>
              </w:rPr>
            </w:pPr>
            <w:r>
              <w:rPr>
                <w:rFonts w:hint="eastAsia" w:cs="宋体" w:asciiTheme="minorEastAsia" w:hAnsiTheme="minorEastAsia"/>
                <w:color w:val="000000"/>
                <w:kern w:val="0"/>
                <w:sz w:val="28"/>
                <w:szCs w:val="28"/>
              </w:rPr>
              <w:t>4.验收测评服务：待完成系统的整改后，开展验收测评实施，根据测评结果提交符合国家信息安全等级保护主管部门要求的《网络安全等级保护测评报告》。</w:t>
            </w:r>
          </w:p>
        </w:tc>
      </w:tr>
    </w:tbl>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chineseCountingThousand"/>
      <w:pStyle w:val="18"/>
      <w:lvlText w:val="%1、"/>
      <w:lvlJc w:val="left"/>
      <w:pPr>
        <w:tabs>
          <w:tab w:val="left" w:pos="425"/>
        </w:tabs>
        <w:ind w:left="425" w:hanging="425"/>
      </w:pPr>
      <w:rPr>
        <w:rFonts w:hint="eastAsia"/>
        <w:lang w:val="en-US"/>
      </w:rPr>
    </w:lvl>
    <w:lvl w:ilvl="1" w:tentative="0">
      <w:start w:val="1"/>
      <w:numFmt w:val="decimal"/>
      <w:lvlText w:val="%2."/>
      <w:lvlJc w:val="left"/>
      <w:pPr>
        <w:tabs>
          <w:tab w:val="left" w:pos="420"/>
        </w:tabs>
        <w:ind w:left="420" w:hanging="420"/>
      </w:pPr>
      <w:rPr>
        <w:rFonts w:hint="eastAsia"/>
      </w:rPr>
    </w:lvl>
    <w:lvl w:ilvl="2" w:tentative="0">
      <w:start w:val="1"/>
      <w:numFmt w:val="decimal"/>
      <w:lvlText w:val="%31.1"/>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00000007"/>
    <w:multiLevelType w:val="multilevel"/>
    <w:tmpl w:val="00000007"/>
    <w:lvl w:ilvl="0" w:tentative="0">
      <w:start w:val="1"/>
      <w:numFmt w:val="decimal"/>
      <w:pStyle w:val="20"/>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45983"/>
    <w:rsid w:val="00046ABF"/>
    <w:rsid w:val="000509C2"/>
    <w:rsid w:val="000578CC"/>
    <w:rsid w:val="000A754C"/>
    <w:rsid w:val="000B48E5"/>
    <w:rsid w:val="000C7BEE"/>
    <w:rsid w:val="00104E98"/>
    <w:rsid w:val="001071D5"/>
    <w:rsid w:val="0012282C"/>
    <w:rsid w:val="001255C9"/>
    <w:rsid w:val="00140E19"/>
    <w:rsid w:val="001D2D28"/>
    <w:rsid w:val="002024F0"/>
    <w:rsid w:val="0032691F"/>
    <w:rsid w:val="003464FA"/>
    <w:rsid w:val="00382673"/>
    <w:rsid w:val="0038676B"/>
    <w:rsid w:val="003A61D3"/>
    <w:rsid w:val="00400849"/>
    <w:rsid w:val="00416752"/>
    <w:rsid w:val="004242C9"/>
    <w:rsid w:val="00430884"/>
    <w:rsid w:val="00431509"/>
    <w:rsid w:val="004D6353"/>
    <w:rsid w:val="00503EDD"/>
    <w:rsid w:val="0051433B"/>
    <w:rsid w:val="005B3F88"/>
    <w:rsid w:val="005F25F8"/>
    <w:rsid w:val="00611AF2"/>
    <w:rsid w:val="00651DF2"/>
    <w:rsid w:val="00684519"/>
    <w:rsid w:val="006B5C19"/>
    <w:rsid w:val="006B7372"/>
    <w:rsid w:val="006C455F"/>
    <w:rsid w:val="006E7F24"/>
    <w:rsid w:val="00714666"/>
    <w:rsid w:val="007324FE"/>
    <w:rsid w:val="007A05E5"/>
    <w:rsid w:val="007C43DD"/>
    <w:rsid w:val="007E29E2"/>
    <w:rsid w:val="00816105"/>
    <w:rsid w:val="0081612E"/>
    <w:rsid w:val="0095537C"/>
    <w:rsid w:val="00967020"/>
    <w:rsid w:val="009D47F4"/>
    <w:rsid w:val="009E50A5"/>
    <w:rsid w:val="00A14C4B"/>
    <w:rsid w:val="00A227E2"/>
    <w:rsid w:val="00A258B0"/>
    <w:rsid w:val="00A85EB0"/>
    <w:rsid w:val="00AF72BD"/>
    <w:rsid w:val="00B219CA"/>
    <w:rsid w:val="00B836A2"/>
    <w:rsid w:val="00B9417A"/>
    <w:rsid w:val="00BF4968"/>
    <w:rsid w:val="00C43669"/>
    <w:rsid w:val="00C57709"/>
    <w:rsid w:val="00C960F1"/>
    <w:rsid w:val="00CC7CE1"/>
    <w:rsid w:val="00D0551D"/>
    <w:rsid w:val="00D34D0A"/>
    <w:rsid w:val="00D3552C"/>
    <w:rsid w:val="00D65801"/>
    <w:rsid w:val="00DA4FB1"/>
    <w:rsid w:val="00E03D6D"/>
    <w:rsid w:val="00E26E0F"/>
    <w:rsid w:val="00E306CB"/>
    <w:rsid w:val="00E45983"/>
    <w:rsid w:val="00E84340"/>
    <w:rsid w:val="00E84456"/>
    <w:rsid w:val="00ED032C"/>
    <w:rsid w:val="00F61B63"/>
    <w:rsid w:val="00F85BCE"/>
    <w:rsid w:val="00FA24CD"/>
    <w:rsid w:val="00FC2159"/>
    <w:rsid w:val="00FF3A7F"/>
    <w:rsid w:val="02F02B7C"/>
    <w:rsid w:val="0A1A4CA3"/>
    <w:rsid w:val="0AC50B85"/>
    <w:rsid w:val="0EDC6350"/>
    <w:rsid w:val="10E95364"/>
    <w:rsid w:val="1D306213"/>
    <w:rsid w:val="1E2636EF"/>
    <w:rsid w:val="2544534F"/>
    <w:rsid w:val="38D06B0E"/>
    <w:rsid w:val="3A7D1661"/>
    <w:rsid w:val="413D61EC"/>
    <w:rsid w:val="6FFF17BE"/>
    <w:rsid w:val="70252114"/>
    <w:rsid w:val="796120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7"/>
    <w:unhideWhenUsed/>
    <w:qFormat/>
    <w:uiPriority w:val="9"/>
    <w:pPr>
      <w:keepNext/>
      <w:keepLines/>
      <w:spacing w:before="260" w:after="260" w:line="416" w:lineRule="auto"/>
      <w:outlineLvl w:val="2"/>
    </w:pPr>
    <w:rPr>
      <w:rFonts w:ascii="宋体" w:hAnsi="宋体" w:eastAsia="宋体" w:cs="Times New Roman"/>
      <w:b/>
      <w:bCs/>
      <w:color w:val="000000"/>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Emphasis"/>
    <w:qFormat/>
    <w:uiPriority w:val="0"/>
    <w:rPr>
      <w:i/>
      <w:iCs/>
    </w:rPr>
  </w:style>
  <w:style w:type="character" w:styleId="12">
    <w:name w:val="Hyperlink"/>
    <w:basedOn w:val="9"/>
    <w:unhideWhenUsed/>
    <w:qFormat/>
    <w:uiPriority w:val="99"/>
    <w:rPr>
      <w:color w:val="0000FF"/>
      <w:u w:val="single"/>
    </w:rPr>
  </w:style>
  <w:style w:type="character" w:customStyle="1" w:styleId="13">
    <w:name w:val="页眉 字符"/>
    <w:basedOn w:val="9"/>
    <w:link w:val="5"/>
    <w:semiHidden/>
    <w:qFormat/>
    <w:uiPriority w:val="99"/>
    <w:rPr>
      <w:sz w:val="18"/>
      <w:szCs w:val="18"/>
    </w:rPr>
  </w:style>
  <w:style w:type="character" w:customStyle="1" w:styleId="14">
    <w:name w:val="页脚 字符"/>
    <w:basedOn w:val="9"/>
    <w:link w:val="4"/>
    <w:semiHidden/>
    <w:qFormat/>
    <w:uiPriority w:val="99"/>
    <w:rPr>
      <w:sz w:val="18"/>
      <w:szCs w:val="18"/>
    </w:rPr>
  </w:style>
  <w:style w:type="character" w:customStyle="1" w:styleId="15">
    <w:name w:val="标题 1 字符"/>
    <w:basedOn w:val="9"/>
    <w:link w:val="2"/>
    <w:qFormat/>
    <w:uiPriority w:val="9"/>
    <w:rPr>
      <w:b/>
      <w:bCs/>
      <w:kern w:val="44"/>
      <w:sz w:val="44"/>
      <w:szCs w:val="44"/>
    </w:rPr>
  </w:style>
  <w:style w:type="paragraph" w:styleId="16">
    <w:name w:val="List Paragraph"/>
    <w:basedOn w:val="1"/>
    <w:link w:val="22"/>
    <w:unhideWhenUsed/>
    <w:qFormat/>
    <w:uiPriority w:val="34"/>
    <w:pPr>
      <w:ind w:firstLine="420" w:firstLineChars="200"/>
    </w:pPr>
  </w:style>
  <w:style w:type="character" w:customStyle="1" w:styleId="17">
    <w:name w:val="标题 3 字符"/>
    <w:basedOn w:val="9"/>
    <w:link w:val="3"/>
    <w:qFormat/>
    <w:uiPriority w:val="9"/>
    <w:rPr>
      <w:rFonts w:ascii="宋体" w:hAnsi="宋体"/>
      <w:b/>
      <w:bCs/>
      <w:color w:val="000000"/>
      <w:kern w:val="2"/>
      <w:sz w:val="32"/>
      <w:szCs w:val="32"/>
    </w:rPr>
  </w:style>
  <w:style w:type="paragraph" w:customStyle="1" w:styleId="18">
    <w:name w:val="合同标题一"/>
    <w:basedOn w:val="2"/>
    <w:qFormat/>
    <w:uiPriority w:val="0"/>
    <w:pPr>
      <w:numPr>
        <w:ilvl w:val="0"/>
        <w:numId w:val="1"/>
      </w:numPr>
      <w:tabs>
        <w:tab w:val="left" w:pos="360"/>
      </w:tabs>
      <w:spacing w:line="576" w:lineRule="auto"/>
    </w:pPr>
    <w:rPr>
      <w:rFonts w:ascii="宋体" w:hAnsi="宋体" w:eastAsia="宋体" w:cs="Times New Roman"/>
      <w:color w:val="000000"/>
      <w:sz w:val="24"/>
      <w:szCs w:val="24"/>
    </w:rPr>
  </w:style>
  <w:style w:type="paragraph" w:customStyle="1" w:styleId="19">
    <w:name w:val="样式 样式 纯文本 + Verdana 行距: 1.5 倍行距 + 左侧:  2 字符 首行缩进:  2 字符"/>
    <w:basedOn w:val="1"/>
    <w:qFormat/>
    <w:uiPriority w:val="0"/>
    <w:pPr>
      <w:spacing w:line="432" w:lineRule="auto"/>
      <w:ind w:left="420" w:leftChars="200" w:firstLine="420" w:firstLineChars="200"/>
    </w:pPr>
    <w:rPr>
      <w:rFonts w:ascii="Verdana" w:hAnsi="Verdana" w:eastAsia="宋体" w:cs="宋体"/>
      <w:color w:val="000000"/>
      <w:szCs w:val="20"/>
    </w:rPr>
  </w:style>
  <w:style w:type="paragraph" w:customStyle="1" w:styleId="20">
    <w:name w:val="段落编号正文"/>
    <w:basedOn w:val="1"/>
    <w:qFormat/>
    <w:uiPriority w:val="0"/>
    <w:pPr>
      <w:numPr>
        <w:ilvl w:val="0"/>
        <w:numId w:val="2"/>
      </w:numPr>
      <w:snapToGrid w:val="0"/>
      <w:spacing w:line="360" w:lineRule="auto"/>
    </w:pPr>
    <w:rPr>
      <w:rFonts w:ascii="宋体" w:hAnsi="宋体" w:eastAsia="宋体" w:cs="Times New Roman"/>
      <w:color w:val="000000"/>
      <w:szCs w:val="21"/>
    </w:rPr>
  </w:style>
  <w:style w:type="paragraph" w:customStyle="1" w:styleId="21">
    <w:name w:val="表格文字"/>
    <w:basedOn w:val="1"/>
    <w:qFormat/>
    <w:uiPriority w:val="0"/>
    <w:pPr>
      <w:spacing w:before="25" w:after="25"/>
    </w:pPr>
    <w:rPr>
      <w:bCs/>
      <w:spacing w:val="10"/>
    </w:rPr>
  </w:style>
  <w:style w:type="character" w:customStyle="1" w:styleId="22">
    <w:name w:val="列出段落 字符"/>
    <w:link w:val="16"/>
    <w:qFormat/>
    <w:uiPriority w:val="34"/>
    <w:rPr>
      <w:rFonts w:asciiTheme="minorHAnsi" w:hAnsiTheme="minorHAnsi" w:eastAsiaTheme="minorEastAsia" w:cstheme="minorBidi"/>
      <w:kern w:val="2"/>
      <w:sz w:val="21"/>
      <w:szCs w:val="22"/>
    </w:rPr>
  </w:style>
  <w:style w:type="paragraph" w:customStyle="1" w:styleId="23">
    <w:name w:val="列出段落1"/>
    <w:basedOn w:val="1"/>
    <w:qFormat/>
    <w:uiPriority w:val="34"/>
    <w:pPr>
      <w:spacing w:line="360" w:lineRule="auto"/>
      <w:ind w:left="720"/>
      <w:contextualSpacing/>
    </w:pPr>
    <w:rPr>
      <w:rFonts w:ascii="Times" w:hAnsi="Times" w:eastAsia="宋体"/>
      <w:sz w:val="20"/>
      <w:szCs w:val="20"/>
    </w:rPr>
  </w:style>
  <w:style w:type="character" w:customStyle="1" w:styleId="24">
    <w:name w:val="font01"/>
    <w:basedOn w:val="9"/>
    <w:uiPriority w:val="0"/>
    <w:rPr>
      <w:rFonts w:hint="eastAsia" w:ascii="宋体" w:hAnsi="宋体" w:eastAsia="宋体" w:cs="宋体"/>
      <w:color w:val="000000"/>
      <w:sz w:val="21"/>
      <w:szCs w:val="21"/>
      <w:u w:val="none"/>
    </w:rPr>
  </w:style>
  <w:style w:type="character" w:customStyle="1" w:styleId="25">
    <w:name w:val="font2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382F-F761-4587-BBBB-40390EF4FCA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4033</Words>
  <Characters>4155</Characters>
  <Lines>30</Lines>
  <Paragraphs>8</Paragraphs>
  <TotalTime>117</TotalTime>
  <ScaleCrop>false</ScaleCrop>
  <LinksUpToDate>false</LinksUpToDate>
  <CharactersWithSpaces>4172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2022-05-07T03:03:00Z</dcterms:created>
  <dc:creator>lenovo</dc:creator>
  <cp:lastModifiedBy>Administrator</cp:lastModifiedBy>
  <dcterms:modified xsi:type="dcterms:W3CDTF">2023-06-21T11:59:40Z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E02D8DA9E5D142F4BB66BA9B0CDB43A2_13</vt:lpwstr>
  </property>
</Properties>
</file>