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ascii="宋体" w:hAnsi="宋体" w:eastAsia="宋体"/>
          <w:b/>
          <w:sz w:val="44"/>
          <w:szCs w:val="44"/>
        </w:rPr>
        <w:t>南方医科大学口腔医院饮用水采购项目市场调研函</w:t>
      </w:r>
      <w:bookmarkStart w:id="18" w:name="_GoBack"/>
      <w:bookmarkEnd w:id="18"/>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sz w:val="28"/>
          <w:szCs w:val="28"/>
        </w:rPr>
        <w:t>饮用水</w:t>
      </w:r>
      <w:r>
        <w:rPr>
          <w:rFonts w:hint="eastAsia" w:asciiTheme="minorEastAsia" w:hAnsiTheme="minorEastAsia"/>
          <w:sz w:val="28"/>
          <w:szCs w:val="28"/>
          <w:shd w:val="clear" w:color="auto" w:fill="FFFFFF"/>
        </w:rPr>
        <w:t>的市场动态情况，现邀请有意向的单位根据我院对需求进行参与。参与办法如下：</w:t>
      </w:r>
    </w:p>
    <w:p>
      <w:pPr>
        <w:numPr>
          <w:ilvl w:val="0"/>
          <w:numId w:val="3"/>
        </w:numPr>
        <w:rPr>
          <w:rFonts w:cs="Times New Roman" w:asciiTheme="minorEastAsia" w:hAnsiTheme="minorEastAsia"/>
          <w:sz w:val="28"/>
          <w:szCs w:val="28"/>
          <w:shd w:val="clear" w:color="auto" w:fill="FFFFFF"/>
        </w:rPr>
      </w:pPr>
      <w:r>
        <w:rPr>
          <w:rStyle w:val="10"/>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NKY20230421011（</w:t>
      </w:r>
      <w:r>
        <w:rPr>
          <w:sz w:val="28"/>
          <w:szCs w:val="28"/>
        </w:rPr>
        <w:t>114769</w:t>
      </w:r>
      <w:r>
        <w:rPr>
          <w:rFonts w:hint="eastAsia" w:cs="Times New Roman" w:asciiTheme="minorEastAsia" w:hAnsiTheme="minorEastAsia"/>
          <w:sz w:val="28"/>
          <w:szCs w:val="28"/>
          <w:shd w:val="clear" w:color="auto" w:fill="FFFFFF"/>
        </w:rPr>
        <w:t>）</w:t>
      </w:r>
    </w:p>
    <w:p>
      <w:pPr>
        <w:rPr>
          <w:rFonts w:asciiTheme="minorEastAsia" w:hAnsiTheme="minorEastAsia"/>
          <w:sz w:val="28"/>
          <w:szCs w:val="28"/>
        </w:rPr>
      </w:pPr>
      <w:r>
        <w:rPr>
          <w:rStyle w:val="10"/>
          <w:rFonts w:cs="Times New Roman" w:asciiTheme="minorEastAsia" w:hAnsiTheme="minorEastAsia"/>
          <w:color w:val="333333"/>
          <w:sz w:val="28"/>
          <w:szCs w:val="28"/>
          <w:shd w:val="clear" w:color="auto" w:fill="FFFFFF"/>
        </w:rPr>
        <w:t>二、</w:t>
      </w:r>
      <w:r>
        <w:rPr>
          <w:rStyle w:val="10"/>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公告发起之日起</w:t>
      </w:r>
      <w:r>
        <w:rPr>
          <w:rFonts w:hint="eastAsia" w:cs="Times New Roman" w:asciiTheme="minorEastAsia" w:hAnsiTheme="minorEastAsia"/>
          <w:sz w:val="28"/>
          <w:szCs w:val="28"/>
          <w:shd w:val="clear" w:color="auto" w:fill="FFFFFF"/>
        </w:rPr>
        <w:t>至2023年5月5日17:00</w:t>
      </w:r>
      <w:r>
        <w:rPr>
          <w:rFonts w:hint="eastAsia" w:asciiTheme="minorEastAsia" w:hAnsiTheme="minorEastAsia"/>
          <w:sz w:val="28"/>
          <w:szCs w:val="28"/>
          <w:shd w:val="clear" w:color="auto" w:fill="FFFFFF"/>
        </w:rPr>
        <w:t>。</w:t>
      </w:r>
    </w:p>
    <w:p>
      <w:pPr>
        <w:jc w:val="left"/>
        <w:rPr>
          <w:rFonts w:asciiTheme="minorEastAsia" w:hAnsiTheme="minorEastAsia"/>
          <w:b/>
          <w:bCs/>
          <w:sz w:val="28"/>
          <w:szCs w:val="28"/>
          <w:shd w:val="clear" w:color="auto" w:fill="FFFFFF"/>
        </w:rPr>
      </w:pPr>
      <w:r>
        <w:rPr>
          <w:rFonts w:cs="Times New Roman" w:asciiTheme="minorEastAsia" w:hAnsiTheme="minorEastAsia"/>
          <w:sz w:val="28"/>
          <w:szCs w:val="28"/>
          <w:shd w:val="clear" w:color="auto" w:fill="FFFFFF"/>
        </w:rPr>
        <w:t>三、</w:t>
      </w:r>
      <w:r>
        <w:rPr>
          <w:rStyle w:val="10"/>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b/>
          <w:bCs/>
          <w:sz w:val="28"/>
          <w:szCs w:val="28"/>
          <w:shd w:val="clear" w:color="auto" w:fill="FFFFFF"/>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sz w:val="28"/>
          <w:szCs w:val="28"/>
          <w:shd w:val="clear" w:color="auto" w:fill="FFFFFF"/>
        </w:rPr>
        <w:t>（</w:t>
      </w:r>
      <w:r>
        <w:rPr>
          <w:rFonts w:cs="Times New Roman" w:asciiTheme="minorEastAsia" w:hAnsiTheme="minorEastAsia"/>
          <w:b/>
          <w:bCs/>
          <w:sz w:val="28"/>
          <w:szCs w:val="28"/>
          <w:shd w:val="clear" w:color="auto" w:fill="FFFFFF"/>
        </w:rPr>
        <w:t>PDF</w:t>
      </w:r>
      <w:r>
        <w:rPr>
          <w:rFonts w:hint="eastAsia" w:asciiTheme="minorEastAsia" w:hAnsiTheme="minorEastAsia"/>
          <w:b/>
          <w:bCs/>
          <w:sz w:val="28"/>
          <w:szCs w:val="28"/>
          <w:shd w:val="clear" w:color="auto" w:fill="FFFFFF"/>
        </w:rPr>
        <w:t>文件，且小于</w:t>
      </w:r>
      <w:r>
        <w:rPr>
          <w:rFonts w:cs="Times New Roman" w:asciiTheme="minorEastAsia" w:hAnsiTheme="minorEastAsia"/>
          <w:b/>
          <w:bCs/>
          <w:sz w:val="28"/>
          <w:szCs w:val="28"/>
          <w:shd w:val="clear" w:color="auto" w:fill="FFFFFF"/>
        </w:rPr>
        <w:t>20MB</w:t>
      </w:r>
      <w:r>
        <w:rPr>
          <w:rFonts w:hint="eastAsia" w:asciiTheme="minorEastAsia" w:hAnsiTheme="minorEastAsia"/>
          <w:b/>
          <w:bCs/>
          <w:sz w:val="28"/>
          <w:szCs w:val="28"/>
          <w:shd w:val="clear" w:color="auto" w:fill="FFFFFF"/>
        </w:rPr>
        <w:t>），打包压缩（文件夹命名规则：</w:t>
      </w:r>
      <w:r>
        <w:fldChar w:fldCharType="begin"/>
      </w:r>
      <w:r>
        <w:instrText xml:space="preserve"> HYPERLINK "mailto:项目名称+单位名称）发至邮箱nky_zwk@163.com" </w:instrText>
      </w:r>
      <w:r>
        <w:fldChar w:fldCharType="separate"/>
      </w:r>
      <w:r>
        <w:rPr>
          <w:rStyle w:val="12"/>
          <w:rFonts w:hint="eastAsia" w:asciiTheme="minorEastAsia" w:hAnsiTheme="minorEastAsia"/>
          <w:b/>
          <w:bCs/>
          <w:sz w:val="28"/>
          <w:szCs w:val="28"/>
          <w:shd w:val="clear" w:color="auto" w:fill="FFFFFF"/>
        </w:rPr>
        <w:t>项目名称</w:t>
      </w:r>
      <w:r>
        <w:rPr>
          <w:rStyle w:val="12"/>
          <w:rFonts w:hint="eastAsia" w:cs="Times New Roman" w:asciiTheme="minorEastAsia" w:hAnsiTheme="minorEastAsia"/>
          <w:b/>
          <w:bCs/>
          <w:sz w:val="28"/>
          <w:szCs w:val="28"/>
          <w:shd w:val="clear" w:color="auto" w:fill="FFFFFF"/>
        </w:rPr>
        <w:t>+</w:t>
      </w:r>
      <w:r>
        <w:rPr>
          <w:rStyle w:val="12"/>
          <w:rFonts w:hint="eastAsia" w:asciiTheme="minorEastAsia" w:hAnsiTheme="minorEastAsia"/>
          <w:b/>
          <w:bCs/>
          <w:sz w:val="28"/>
          <w:szCs w:val="28"/>
          <w:shd w:val="clear" w:color="auto" w:fill="FFFFFF"/>
        </w:rPr>
        <w:t>单位名称）发至邮箱</w:t>
      </w:r>
      <w:r>
        <w:rPr>
          <w:rStyle w:val="12"/>
          <w:rFonts w:hint="eastAsia" w:cs="Times New Roman" w:asciiTheme="minorEastAsia" w:hAnsiTheme="minorEastAsia"/>
          <w:b/>
          <w:bCs/>
          <w:sz w:val="28"/>
          <w:szCs w:val="28"/>
          <w:shd w:val="clear" w:color="auto" w:fill="FFFFFF"/>
        </w:rPr>
        <w:t>nky_zwk</w:t>
      </w:r>
      <w:r>
        <w:rPr>
          <w:rStyle w:val="12"/>
          <w:rFonts w:cs="Times New Roman" w:asciiTheme="minorEastAsia" w:hAnsiTheme="minorEastAsia"/>
          <w:b/>
          <w:bCs/>
          <w:sz w:val="28"/>
          <w:szCs w:val="28"/>
          <w:shd w:val="clear" w:color="auto" w:fill="FFFFFF"/>
        </w:rPr>
        <w:t>@</w:t>
      </w:r>
      <w:r>
        <w:rPr>
          <w:rStyle w:val="12"/>
          <w:rFonts w:hint="eastAsia" w:cs="Times New Roman" w:asciiTheme="minorEastAsia" w:hAnsiTheme="minorEastAsia"/>
          <w:b/>
          <w:bCs/>
          <w:sz w:val="28"/>
          <w:szCs w:val="28"/>
          <w:shd w:val="clear" w:color="auto" w:fill="FFFFFF"/>
        </w:rPr>
        <w:t>163</w:t>
      </w:r>
      <w:r>
        <w:rPr>
          <w:rStyle w:val="12"/>
          <w:rFonts w:cs="Times New Roman" w:asciiTheme="minorEastAsia" w:hAnsiTheme="minorEastAsia"/>
          <w:b/>
          <w:bCs/>
          <w:sz w:val="28"/>
          <w:szCs w:val="28"/>
          <w:shd w:val="clear" w:color="auto" w:fill="FFFFFF"/>
        </w:rPr>
        <w:t>.com</w:t>
      </w:r>
      <w:r>
        <w:rPr>
          <w:rStyle w:val="12"/>
          <w:rFonts w:cs="Times New Roman" w:asciiTheme="minorEastAsia" w:hAnsiTheme="minorEastAsia"/>
          <w:b/>
          <w:bCs/>
          <w:sz w:val="28"/>
          <w:szCs w:val="28"/>
          <w:shd w:val="clear" w:color="auto" w:fill="FFFFFF"/>
        </w:rPr>
        <w:fldChar w:fldCharType="end"/>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②同时提供</w:t>
      </w:r>
      <w:r>
        <w:rPr>
          <w:rFonts w:hint="eastAsia" w:asciiTheme="minorEastAsia" w:hAnsiTheme="minorEastAsia"/>
          <w:b/>
          <w:bCs/>
          <w:color w:val="FF0000"/>
          <w:sz w:val="28"/>
          <w:szCs w:val="28"/>
          <w:shd w:val="clear" w:color="auto" w:fill="FFFFFF"/>
        </w:rPr>
        <w:t>纸质资料</w:t>
      </w:r>
      <w:r>
        <w:rPr>
          <w:rFonts w:hint="eastAsia" w:asciiTheme="minorEastAsia" w:hAnsiTheme="minorEastAsia"/>
          <w:b/>
          <w:bCs/>
          <w:sz w:val="28"/>
          <w:szCs w:val="28"/>
          <w:shd w:val="clear" w:color="auto" w:fill="FFFFFF"/>
        </w:rPr>
        <w:t>（加盖公章+密封）。</w:t>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联系人：刘生 、潘小姐020-84427043</w:t>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资料递交地址：广州市海珠区江南大道南368-1号三楼总务科</w:t>
      </w:r>
    </w:p>
    <w:p>
      <w:pPr>
        <w:numPr>
          <w:ilvl w:val="0"/>
          <w:numId w:val="4"/>
        </w:numPr>
        <w:rPr>
          <w:rStyle w:val="10"/>
          <w:rFonts w:asciiTheme="minorEastAsia" w:hAnsiTheme="minorEastAsia"/>
          <w:sz w:val="28"/>
          <w:szCs w:val="28"/>
        </w:rPr>
      </w:pPr>
      <w:r>
        <w:rPr>
          <w:rStyle w:val="10"/>
          <w:rFonts w:hint="eastAsia" w:asciiTheme="minorEastAsia" w:hAnsiTheme="minorEastAsia"/>
          <w:sz w:val="28"/>
          <w:szCs w:val="28"/>
        </w:rPr>
        <w:t>项目内容：</w:t>
      </w:r>
    </w:p>
    <w:p>
      <w:pPr>
        <w:rPr>
          <w:sz w:val="28"/>
          <w:szCs w:val="28"/>
        </w:rPr>
      </w:pPr>
      <w:r>
        <w:rPr>
          <w:rFonts w:hint="eastAsia" w:asciiTheme="minorEastAsia" w:hAnsiTheme="minorEastAsia"/>
          <w:color w:val="000000"/>
          <w:sz w:val="28"/>
          <w:szCs w:val="28"/>
        </w:rPr>
        <w:t>项目名称：</w:t>
      </w:r>
      <w:r>
        <w:rPr>
          <w:rFonts w:hint="eastAsia"/>
          <w:sz w:val="28"/>
          <w:szCs w:val="28"/>
        </w:rPr>
        <w:t>南方医科大学口腔医院饮用水采购项目。</w:t>
      </w:r>
    </w:p>
    <w:p>
      <w:pPr>
        <w:autoSpaceDE w:val="0"/>
        <w:autoSpaceDN w:val="0"/>
        <w:spacing w:line="360" w:lineRule="auto"/>
        <w:rPr>
          <w:rFonts w:ascii="宋体"/>
          <w:sz w:val="28"/>
          <w:szCs w:val="28"/>
        </w:rPr>
      </w:pPr>
      <w:r>
        <w:rPr>
          <w:rFonts w:hint="eastAsia" w:asciiTheme="minorEastAsia" w:hAnsiTheme="minorEastAsia"/>
          <w:sz w:val="28"/>
          <w:szCs w:val="28"/>
        </w:rPr>
        <w:t>1.</w:t>
      </w:r>
      <w:r>
        <w:rPr>
          <w:rFonts w:hint="eastAsia" w:ascii="宋体"/>
          <w:sz w:val="28"/>
          <w:szCs w:val="28"/>
        </w:rPr>
        <w:t xml:space="preserve"> 服务地点：南方医科大学口腔医院（广东省口腔医院）</w:t>
      </w:r>
    </w:p>
    <w:p>
      <w:pPr>
        <w:autoSpaceDE w:val="0"/>
        <w:autoSpaceDN w:val="0"/>
        <w:spacing w:line="360" w:lineRule="auto"/>
        <w:ind w:firstLine="420" w:firstLineChars="150"/>
        <w:rPr>
          <w:rFonts w:ascii="宋体"/>
          <w:sz w:val="28"/>
          <w:szCs w:val="28"/>
        </w:rPr>
      </w:pPr>
      <w:r>
        <w:rPr>
          <w:rFonts w:hint="eastAsia" w:ascii="宋体"/>
          <w:sz w:val="28"/>
          <w:szCs w:val="28"/>
        </w:rPr>
        <w:t>服务地址： 总院地址：广州市江南大道南366号及368-1号连州楼负一至七楼；</w:t>
      </w:r>
    </w:p>
    <w:p>
      <w:pPr>
        <w:autoSpaceDE w:val="0"/>
        <w:autoSpaceDN w:val="0"/>
        <w:spacing w:line="360" w:lineRule="auto"/>
        <w:ind w:firstLine="1890" w:firstLineChars="675"/>
        <w:rPr>
          <w:rFonts w:ascii="宋体"/>
          <w:sz w:val="28"/>
          <w:szCs w:val="28"/>
          <w:lang w:val="zh-CN"/>
        </w:rPr>
      </w:pPr>
      <w:r>
        <w:rPr>
          <w:rFonts w:hint="eastAsia" w:ascii="宋体"/>
          <w:sz w:val="28"/>
          <w:szCs w:val="28"/>
        </w:rPr>
        <w:t>海珠广场院区地址：</w:t>
      </w:r>
      <w:r>
        <w:rPr>
          <w:rFonts w:hint="eastAsia" w:ascii="宋体"/>
          <w:sz w:val="28"/>
          <w:szCs w:val="28"/>
          <w:lang w:val="zh-CN"/>
        </w:rPr>
        <w:t>广州市越秀区泰康路178-180号；</w:t>
      </w:r>
    </w:p>
    <w:p>
      <w:pPr>
        <w:autoSpaceDE w:val="0"/>
        <w:autoSpaceDN w:val="0"/>
        <w:spacing w:line="360" w:lineRule="auto"/>
        <w:ind w:firstLine="1890" w:firstLineChars="675"/>
        <w:rPr>
          <w:rFonts w:ascii="宋体"/>
          <w:sz w:val="28"/>
          <w:szCs w:val="28"/>
          <w:lang w:val="zh-CN"/>
        </w:rPr>
      </w:pPr>
      <w:r>
        <w:rPr>
          <w:rFonts w:hint="eastAsia" w:ascii="宋体"/>
          <w:sz w:val="28"/>
          <w:szCs w:val="28"/>
          <w:lang w:val="zh-CN"/>
        </w:rPr>
        <w:t>番禺院区地址：市桥新艺路12号；</w:t>
      </w:r>
    </w:p>
    <w:p>
      <w:pPr>
        <w:autoSpaceDE w:val="0"/>
        <w:autoSpaceDN w:val="0"/>
        <w:spacing w:line="360" w:lineRule="auto"/>
        <w:ind w:firstLine="1960" w:firstLineChars="700"/>
        <w:rPr>
          <w:rFonts w:ascii="宋体"/>
          <w:sz w:val="28"/>
          <w:szCs w:val="28"/>
          <w:lang w:val="zh-CN"/>
        </w:rPr>
      </w:pPr>
      <w:r>
        <w:rPr>
          <w:rFonts w:hint="eastAsia" w:ascii="宋体"/>
          <w:sz w:val="28"/>
          <w:szCs w:val="28"/>
          <w:lang w:val="zh-CN"/>
        </w:rPr>
        <w:t>盘福院区地址：越秀区盘福路13-35号。</w:t>
      </w:r>
    </w:p>
    <w:p>
      <w:pPr>
        <w:autoSpaceDE w:val="0"/>
        <w:autoSpaceDN w:val="0"/>
        <w:spacing w:line="360" w:lineRule="auto"/>
        <w:rPr>
          <w:rFonts w:asciiTheme="minorEastAsia" w:hAnsiTheme="minorEastAsia"/>
          <w:b/>
          <w:sz w:val="28"/>
          <w:szCs w:val="28"/>
        </w:rPr>
      </w:pPr>
    </w:p>
    <w:p>
      <w:pPr>
        <w:autoSpaceDE w:val="0"/>
        <w:autoSpaceDN w:val="0"/>
        <w:spacing w:line="360" w:lineRule="auto"/>
        <w:rPr>
          <w:rFonts w:asciiTheme="minorEastAsia" w:hAnsiTheme="minorEastAsia"/>
          <w:b/>
          <w:sz w:val="28"/>
          <w:szCs w:val="28"/>
        </w:rPr>
      </w:pPr>
    </w:p>
    <w:p>
      <w:pPr>
        <w:autoSpaceDE w:val="0"/>
        <w:autoSpaceDN w:val="0"/>
        <w:spacing w:line="360" w:lineRule="auto"/>
        <w:rPr>
          <w:rFonts w:ascii="宋体"/>
          <w:b/>
          <w:sz w:val="28"/>
          <w:szCs w:val="28"/>
        </w:rPr>
      </w:pPr>
      <w:r>
        <w:rPr>
          <w:rFonts w:hint="eastAsia" w:asciiTheme="minorEastAsia" w:hAnsiTheme="minorEastAsia"/>
          <w:b/>
          <w:sz w:val="28"/>
          <w:szCs w:val="28"/>
        </w:rPr>
        <w:t>五、</w:t>
      </w:r>
      <w:bookmarkStart w:id="0" w:name="_Toc128557411"/>
      <w:r>
        <w:rPr>
          <w:rFonts w:hint="eastAsia" w:ascii="宋体"/>
          <w:b/>
          <w:sz w:val="28"/>
          <w:szCs w:val="28"/>
        </w:rPr>
        <w:t>项目标的及价格</w:t>
      </w:r>
    </w:p>
    <w:tbl>
      <w:tblPr>
        <w:tblStyle w:val="7"/>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1"/>
        <w:gridCol w:w="1843"/>
        <w:gridCol w:w="2552"/>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1" w:type="dxa"/>
            <w:tcMar>
              <w:top w:w="0" w:type="dxa"/>
              <w:left w:w="108" w:type="dxa"/>
              <w:bottom w:w="0" w:type="dxa"/>
              <w:right w:w="108" w:type="dxa"/>
            </w:tcMar>
            <w:vAlign w:val="center"/>
          </w:tcPr>
          <w:p>
            <w:pPr>
              <w:spacing w:line="360" w:lineRule="auto"/>
              <w:jc w:val="center"/>
              <w:rPr>
                <w:rFonts w:ascii="宋体"/>
                <w:b/>
                <w:sz w:val="28"/>
                <w:szCs w:val="28"/>
              </w:rPr>
            </w:pPr>
            <w:r>
              <w:rPr>
                <w:rFonts w:hint="eastAsia" w:ascii="宋体"/>
                <w:b/>
                <w:sz w:val="28"/>
                <w:szCs w:val="28"/>
              </w:rPr>
              <w:t>服务内容</w:t>
            </w:r>
          </w:p>
        </w:tc>
        <w:tc>
          <w:tcPr>
            <w:tcW w:w="1843" w:type="dxa"/>
            <w:tcMar>
              <w:top w:w="0" w:type="dxa"/>
              <w:left w:w="108" w:type="dxa"/>
              <w:bottom w:w="0" w:type="dxa"/>
              <w:right w:w="108" w:type="dxa"/>
            </w:tcMar>
            <w:vAlign w:val="center"/>
          </w:tcPr>
          <w:p>
            <w:pPr>
              <w:spacing w:line="360" w:lineRule="auto"/>
              <w:jc w:val="center"/>
              <w:rPr>
                <w:rFonts w:ascii="宋体"/>
                <w:b/>
                <w:sz w:val="28"/>
                <w:szCs w:val="28"/>
              </w:rPr>
            </w:pPr>
            <w:r>
              <w:rPr>
                <w:rFonts w:hint="eastAsia" w:ascii="宋体"/>
                <w:b/>
                <w:sz w:val="28"/>
                <w:szCs w:val="28"/>
              </w:rPr>
              <w:t>服务期限</w:t>
            </w:r>
          </w:p>
        </w:tc>
        <w:tc>
          <w:tcPr>
            <w:tcW w:w="2552" w:type="dxa"/>
          </w:tcPr>
          <w:p>
            <w:pPr>
              <w:spacing w:line="360" w:lineRule="auto"/>
              <w:jc w:val="center"/>
              <w:rPr>
                <w:rFonts w:ascii="宋体"/>
                <w:b/>
                <w:sz w:val="28"/>
                <w:szCs w:val="28"/>
              </w:rPr>
            </w:pPr>
            <w:r>
              <w:rPr>
                <w:rFonts w:hint="eastAsia" w:ascii="宋体"/>
                <w:b/>
                <w:sz w:val="28"/>
                <w:szCs w:val="28"/>
              </w:rPr>
              <w:t>型号规格</w:t>
            </w:r>
          </w:p>
        </w:tc>
        <w:tc>
          <w:tcPr>
            <w:tcW w:w="1701" w:type="dxa"/>
          </w:tcPr>
          <w:p>
            <w:pPr>
              <w:spacing w:line="360" w:lineRule="auto"/>
              <w:jc w:val="center"/>
              <w:rPr>
                <w:rFonts w:ascii="宋体"/>
                <w:b/>
                <w:sz w:val="28"/>
                <w:szCs w:val="28"/>
              </w:rPr>
            </w:pPr>
            <w:r>
              <w:rPr>
                <w:rFonts w:hint="eastAsia" w:ascii="宋体"/>
                <w:b/>
                <w:sz w:val="28"/>
                <w:szCs w:val="28"/>
              </w:rPr>
              <w:t>单价</w:t>
            </w:r>
          </w:p>
        </w:tc>
        <w:tc>
          <w:tcPr>
            <w:tcW w:w="1701" w:type="dxa"/>
          </w:tcPr>
          <w:p>
            <w:pPr>
              <w:spacing w:line="360" w:lineRule="auto"/>
              <w:jc w:val="center"/>
              <w:rPr>
                <w:rFonts w:ascii="宋体"/>
                <w:b/>
                <w:sz w:val="28"/>
                <w:szCs w:val="28"/>
              </w:rPr>
            </w:pPr>
            <w:r>
              <w:rPr>
                <w:rFonts w:hint="eastAsia" w:ascii="宋体"/>
                <w:b/>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1" w:type="dxa"/>
            <w:vMerge w:val="restart"/>
            <w:tcMar>
              <w:top w:w="0" w:type="dxa"/>
              <w:left w:w="108" w:type="dxa"/>
              <w:bottom w:w="0" w:type="dxa"/>
              <w:right w:w="108" w:type="dxa"/>
            </w:tcMar>
            <w:vAlign w:val="center"/>
          </w:tcPr>
          <w:p>
            <w:pPr>
              <w:spacing w:line="360" w:lineRule="auto"/>
              <w:jc w:val="center"/>
              <w:rPr>
                <w:rFonts w:ascii="宋体"/>
                <w:sz w:val="28"/>
                <w:szCs w:val="28"/>
              </w:rPr>
            </w:pPr>
            <w:r>
              <w:rPr>
                <w:rFonts w:hint="eastAsia" w:ascii="宋体"/>
                <w:sz w:val="28"/>
                <w:szCs w:val="28"/>
              </w:rPr>
              <w:t>饮用桶装水</w:t>
            </w:r>
          </w:p>
        </w:tc>
        <w:tc>
          <w:tcPr>
            <w:tcW w:w="1843" w:type="dxa"/>
            <w:vMerge w:val="restart"/>
            <w:tcMar>
              <w:top w:w="0" w:type="dxa"/>
              <w:left w:w="108" w:type="dxa"/>
              <w:bottom w:w="0" w:type="dxa"/>
              <w:right w:w="108" w:type="dxa"/>
            </w:tcMar>
            <w:vAlign w:val="center"/>
          </w:tcPr>
          <w:p>
            <w:pPr>
              <w:spacing w:line="360" w:lineRule="auto"/>
              <w:jc w:val="center"/>
              <w:rPr>
                <w:rFonts w:ascii="宋体"/>
                <w:sz w:val="28"/>
                <w:szCs w:val="28"/>
              </w:rPr>
            </w:pPr>
            <w:r>
              <w:rPr>
                <w:rFonts w:hint="eastAsia" w:ascii="宋体"/>
                <w:sz w:val="28"/>
                <w:szCs w:val="28"/>
              </w:rPr>
              <w:t>三年，期间</w:t>
            </w:r>
          </w:p>
          <w:p>
            <w:pPr>
              <w:spacing w:line="360" w:lineRule="auto"/>
              <w:jc w:val="center"/>
              <w:rPr>
                <w:rFonts w:ascii="宋体"/>
                <w:sz w:val="28"/>
                <w:szCs w:val="28"/>
              </w:rPr>
            </w:pPr>
            <w:r>
              <w:rPr>
                <w:rFonts w:hint="eastAsia" w:ascii="宋体"/>
                <w:sz w:val="28"/>
                <w:szCs w:val="28"/>
              </w:rPr>
              <w:t>（一年一签）</w:t>
            </w:r>
          </w:p>
        </w:tc>
        <w:tc>
          <w:tcPr>
            <w:tcW w:w="2552" w:type="dxa"/>
          </w:tcPr>
          <w:p>
            <w:pPr>
              <w:spacing w:line="360" w:lineRule="auto"/>
              <w:jc w:val="center"/>
              <w:rPr>
                <w:rFonts w:ascii="宋体"/>
                <w:sz w:val="28"/>
                <w:szCs w:val="28"/>
              </w:rPr>
            </w:pPr>
            <w:r>
              <w:rPr>
                <w:rFonts w:hint="eastAsia" w:ascii="宋体"/>
                <w:sz w:val="28"/>
                <w:szCs w:val="28"/>
              </w:rPr>
              <w:t>18.9L/桶</w:t>
            </w:r>
          </w:p>
        </w:tc>
        <w:tc>
          <w:tcPr>
            <w:tcW w:w="1701" w:type="dxa"/>
          </w:tcPr>
          <w:p>
            <w:pPr>
              <w:spacing w:line="360" w:lineRule="auto"/>
              <w:jc w:val="left"/>
              <w:rPr>
                <w:rFonts w:ascii="宋体"/>
                <w:sz w:val="28"/>
                <w:szCs w:val="28"/>
              </w:rPr>
            </w:pPr>
            <w:r>
              <w:rPr>
                <w:rFonts w:hint="eastAsia" w:ascii="宋体"/>
                <w:sz w:val="28"/>
                <w:szCs w:val="28"/>
              </w:rPr>
              <w:t xml:space="preserve">  ？？元/桶</w:t>
            </w:r>
          </w:p>
        </w:tc>
        <w:tc>
          <w:tcPr>
            <w:tcW w:w="1701" w:type="dxa"/>
            <w:vMerge w:val="restart"/>
            <w:vAlign w:val="center"/>
          </w:tcPr>
          <w:p>
            <w:pPr>
              <w:spacing w:line="360" w:lineRule="auto"/>
              <w:jc w:val="left"/>
              <w:rPr>
                <w:rFonts w:ascii="宋体"/>
                <w:sz w:val="28"/>
                <w:szCs w:val="28"/>
              </w:rPr>
            </w:pPr>
            <w:r>
              <w:rPr>
                <w:rFonts w:hint="eastAsia" w:ascii="宋体"/>
                <w:sz w:val="28"/>
                <w:szCs w:val="28"/>
              </w:rPr>
              <w:t>每月用水量不低于1000桶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01" w:type="dxa"/>
            <w:vMerge w:val="continue"/>
            <w:tcMar>
              <w:top w:w="0" w:type="dxa"/>
              <w:left w:w="108" w:type="dxa"/>
              <w:bottom w:w="0" w:type="dxa"/>
              <w:right w:w="108" w:type="dxa"/>
            </w:tcMar>
            <w:vAlign w:val="center"/>
          </w:tcPr>
          <w:p>
            <w:pPr>
              <w:spacing w:line="360" w:lineRule="auto"/>
              <w:jc w:val="center"/>
              <w:rPr>
                <w:rFonts w:ascii="宋体"/>
                <w:sz w:val="28"/>
                <w:szCs w:val="28"/>
              </w:rPr>
            </w:pPr>
          </w:p>
        </w:tc>
        <w:tc>
          <w:tcPr>
            <w:tcW w:w="1843" w:type="dxa"/>
            <w:vMerge w:val="continue"/>
            <w:tcMar>
              <w:top w:w="0" w:type="dxa"/>
              <w:left w:w="108" w:type="dxa"/>
              <w:bottom w:w="0" w:type="dxa"/>
              <w:right w:w="108" w:type="dxa"/>
            </w:tcMar>
            <w:vAlign w:val="center"/>
          </w:tcPr>
          <w:p>
            <w:pPr>
              <w:spacing w:line="360" w:lineRule="auto"/>
              <w:jc w:val="center"/>
              <w:rPr>
                <w:rFonts w:ascii="宋体"/>
                <w:sz w:val="28"/>
                <w:szCs w:val="28"/>
              </w:rPr>
            </w:pPr>
          </w:p>
        </w:tc>
        <w:tc>
          <w:tcPr>
            <w:tcW w:w="2552" w:type="dxa"/>
          </w:tcPr>
          <w:p>
            <w:pPr>
              <w:spacing w:line="360" w:lineRule="auto"/>
              <w:jc w:val="center"/>
              <w:rPr>
                <w:rFonts w:ascii="宋体"/>
                <w:sz w:val="28"/>
                <w:szCs w:val="28"/>
              </w:rPr>
            </w:pPr>
            <w:r>
              <w:rPr>
                <w:rFonts w:hint="eastAsia" w:ascii="宋体"/>
                <w:sz w:val="28"/>
                <w:szCs w:val="28"/>
              </w:rPr>
              <w:t>11.3L/桶</w:t>
            </w:r>
          </w:p>
        </w:tc>
        <w:tc>
          <w:tcPr>
            <w:tcW w:w="1701" w:type="dxa"/>
          </w:tcPr>
          <w:p>
            <w:pPr>
              <w:spacing w:line="360" w:lineRule="auto"/>
              <w:jc w:val="left"/>
              <w:rPr>
                <w:rFonts w:ascii="宋体"/>
                <w:sz w:val="28"/>
                <w:szCs w:val="28"/>
              </w:rPr>
            </w:pPr>
            <w:r>
              <w:rPr>
                <w:rFonts w:hint="eastAsia" w:ascii="宋体"/>
                <w:sz w:val="28"/>
                <w:szCs w:val="28"/>
              </w:rPr>
              <w:t xml:space="preserve">  ？？元/桶</w:t>
            </w:r>
          </w:p>
        </w:tc>
        <w:tc>
          <w:tcPr>
            <w:tcW w:w="1701" w:type="dxa"/>
            <w:vMerge w:val="continue"/>
            <w:vAlign w:val="center"/>
          </w:tcPr>
          <w:p>
            <w:pPr>
              <w:spacing w:line="360" w:lineRule="auto"/>
              <w:jc w:val="left"/>
              <w:rPr>
                <w:rFonts w:ascii="宋体"/>
                <w:sz w:val="28"/>
                <w:szCs w:val="28"/>
              </w:rPr>
            </w:pPr>
          </w:p>
        </w:tc>
      </w:tr>
    </w:tbl>
    <w:p>
      <w:pPr>
        <w:spacing w:line="360" w:lineRule="auto"/>
        <w:jc w:val="left"/>
        <w:rPr>
          <w:rFonts w:asciiTheme="minorEastAsia" w:hAnsiTheme="minorEastAsia"/>
          <w:sz w:val="28"/>
          <w:szCs w:val="28"/>
        </w:rPr>
      </w:pPr>
    </w:p>
    <w:bookmarkEnd w:id="0"/>
    <w:p>
      <w:pPr>
        <w:spacing w:line="360" w:lineRule="auto"/>
        <w:rPr>
          <w:b/>
          <w:sz w:val="28"/>
          <w:szCs w:val="28"/>
        </w:rPr>
      </w:pPr>
      <w:bookmarkStart w:id="1" w:name="_Toc128557412"/>
      <w:r>
        <w:rPr>
          <w:rFonts w:hint="eastAsia"/>
          <w:b/>
          <w:sz w:val="28"/>
          <w:szCs w:val="28"/>
        </w:rPr>
        <w:t>六、</w:t>
      </w:r>
      <w:bookmarkEnd w:id="1"/>
      <w:bookmarkStart w:id="2" w:name="_Toc444614726"/>
      <w:bookmarkEnd w:id="2"/>
      <w:bookmarkStart w:id="3" w:name="_Toc445988773"/>
      <w:bookmarkEnd w:id="3"/>
      <w:bookmarkStart w:id="4" w:name="_Toc444045085"/>
      <w:bookmarkEnd w:id="4"/>
      <w:bookmarkStart w:id="5" w:name="_Toc452219011"/>
      <w:bookmarkEnd w:id="5"/>
      <w:bookmarkStart w:id="6" w:name="_Toc445110644"/>
      <w:bookmarkEnd w:id="6"/>
      <w:bookmarkStart w:id="7" w:name="_Toc446338616"/>
      <w:bookmarkEnd w:id="7"/>
      <w:bookmarkStart w:id="8" w:name="_Toc444614126"/>
      <w:bookmarkEnd w:id="8"/>
      <w:bookmarkStart w:id="9" w:name="_Toc80686069"/>
      <w:bookmarkEnd w:id="9"/>
      <w:bookmarkStart w:id="10" w:name="_Toc444045084"/>
      <w:bookmarkEnd w:id="10"/>
      <w:bookmarkStart w:id="11" w:name="_Toc444614125"/>
      <w:bookmarkEnd w:id="11"/>
      <w:bookmarkStart w:id="12" w:name="_Toc80686070"/>
      <w:bookmarkEnd w:id="12"/>
      <w:bookmarkStart w:id="13" w:name="_Toc444614727"/>
      <w:bookmarkEnd w:id="13"/>
      <w:bookmarkStart w:id="14" w:name="_Toc445110645"/>
      <w:bookmarkEnd w:id="14"/>
      <w:bookmarkStart w:id="15" w:name="_Toc445988774"/>
      <w:bookmarkEnd w:id="15"/>
      <w:bookmarkStart w:id="16" w:name="_Toc446338617"/>
      <w:bookmarkEnd w:id="16"/>
      <w:bookmarkStart w:id="17" w:name="_Toc452219012"/>
      <w:bookmarkEnd w:id="17"/>
      <w:r>
        <w:rPr>
          <w:rFonts w:hint="eastAsia"/>
          <w:b/>
          <w:sz w:val="28"/>
          <w:szCs w:val="28"/>
        </w:rPr>
        <w:t>主要服务内容及具体要求：</w:t>
      </w:r>
    </w:p>
    <w:p>
      <w:pPr>
        <w:spacing w:line="360" w:lineRule="auto"/>
        <w:ind w:firstLine="560" w:firstLineChars="200"/>
        <w:rPr>
          <w:sz w:val="28"/>
          <w:szCs w:val="28"/>
        </w:rPr>
      </w:pPr>
      <w:r>
        <w:rPr>
          <w:rFonts w:hint="eastAsia"/>
          <w:sz w:val="28"/>
          <w:szCs w:val="28"/>
        </w:rPr>
        <w:t>1、负责医院四个院区的饮用水供应，。</w:t>
      </w:r>
    </w:p>
    <w:p>
      <w:pPr>
        <w:spacing w:line="360" w:lineRule="auto"/>
        <w:ind w:firstLine="560" w:firstLineChars="200"/>
        <w:rPr>
          <w:sz w:val="28"/>
          <w:szCs w:val="28"/>
        </w:rPr>
      </w:pPr>
      <w:r>
        <w:rPr>
          <w:rFonts w:hint="eastAsia"/>
          <w:sz w:val="28"/>
          <w:szCs w:val="28"/>
        </w:rPr>
        <w:t>2、每季度对所有饮水机进行免费保洁消毒清洗服务（包括外观、水机内部清洗消毒），由投标人年初制定每年实施计划，呈交招标单位。</w:t>
      </w:r>
    </w:p>
    <w:p>
      <w:pPr>
        <w:spacing w:line="360" w:lineRule="auto"/>
        <w:ind w:firstLine="560" w:firstLineChars="200"/>
        <w:rPr>
          <w:sz w:val="28"/>
          <w:szCs w:val="28"/>
        </w:rPr>
      </w:pPr>
      <w:r>
        <w:rPr>
          <w:rFonts w:hint="eastAsia"/>
          <w:sz w:val="28"/>
          <w:szCs w:val="28"/>
        </w:rPr>
        <w:t>3、投标人提供饮水机免费常规维修服务。</w:t>
      </w:r>
    </w:p>
    <w:p>
      <w:pPr>
        <w:spacing w:line="360" w:lineRule="auto"/>
        <w:ind w:firstLine="560" w:firstLineChars="200"/>
        <w:rPr>
          <w:sz w:val="28"/>
          <w:szCs w:val="28"/>
        </w:rPr>
      </w:pPr>
      <w:r>
        <w:rPr>
          <w:rFonts w:hint="eastAsia"/>
          <w:sz w:val="28"/>
          <w:szCs w:val="28"/>
        </w:rPr>
        <w:t>4、其他要求和说明：</w:t>
      </w:r>
    </w:p>
    <w:p>
      <w:pPr>
        <w:spacing w:line="360" w:lineRule="auto"/>
        <w:ind w:firstLine="560" w:firstLineChars="200"/>
        <w:rPr>
          <w:sz w:val="28"/>
          <w:szCs w:val="28"/>
        </w:rPr>
      </w:pPr>
      <w:r>
        <w:rPr>
          <w:rFonts w:hint="eastAsia"/>
          <w:sz w:val="28"/>
          <w:szCs w:val="28"/>
        </w:rPr>
        <w:t>（1）投标人安排的送水人员应有较强责任心、具有饮水机的维修技术，形象良好，举止文明，对招标单位的职工提供微笑服务、承诺遵守法律法规和招标单位的各项规章制度，服从招标单位的统一管理，杜绝与用户发生口角、争吵，违者扣罚300元/次，严重者除追究投标人的赔偿责任外，还扣罚500元/次。</w:t>
      </w:r>
    </w:p>
    <w:p>
      <w:pPr>
        <w:spacing w:line="360" w:lineRule="auto"/>
        <w:ind w:firstLine="560" w:firstLineChars="200"/>
        <w:rPr>
          <w:sz w:val="28"/>
          <w:szCs w:val="28"/>
        </w:rPr>
      </w:pPr>
      <w:r>
        <w:rPr>
          <w:rFonts w:hint="eastAsia"/>
          <w:sz w:val="28"/>
          <w:szCs w:val="28"/>
        </w:rPr>
        <w:t>（2）投标人要严格执行招标单位消防和用电安全等方面的规定。</w:t>
      </w:r>
    </w:p>
    <w:p>
      <w:pPr>
        <w:spacing w:line="360" w:lineRule="auto"/>
        <w:ind w:firstLine="560" w:firstLineChars="200"/>
        <w:rPr>
          <w:sz w:val="28"/>
          <w:szCs w:val="28"/>
        </w:rPr>
      </w:pPr>
      <w:r>
        <w:rPr>
          <w:rFonts w:hint="eastAsia"/>
          <w:sz w:val="28"/>
          <w:szCs w:val="28"/>
        </w:rPr>
        <w:t>（3）投标人要加强对送水人员的日常安全教育与安全管理，避免任何安全事故的发生。因管理不善而造成人身或设备损坏，招标人应承担全部责任。</w:t>
      </w:r>
    </w:p>
    <w:p>
      <w:pPr>
        <w:spacing w:line="360" w:lineRule="auto"/>
        <w:ind w:firstLine="560" w:firstLineChars="200"/>
        <w:rPr>
          <w:sz w:val="28"/>
          <w:szCs w:val="28"/>
        </w:rPr>
      </w:pPr>
      <w:r>
        <w:rPr>
          <w:rFonts w:hint="eastAsia"/>
          <w:sz w:val="28"/>
          <w:szCs w:val="28"/>
        </w:rPr>
        <w:t>（4）投标人对招标单位内维修后不能继续使用的饮水机进行免费更换，更换的饮水机必须为全新、符合国家3C认证的产品。</w:t>
      </w:r>
      <w:r>
        <w:rPr>
          <w:rFonts w:hint="eastAsia"/>
          <w:bCs/>
          <w:sz w:val="28"/>
          <w:szCs w:val="28"/>
        </w:rPr>
        <w:t>招标人如用水量增加使用饮水机的，投标人无偿提供 (具体数量以采购人实际需求为准)。</w:t>
      </w:r>
    </w:p>
    <w:p>
      <w:pPr>
        <w:spacing w:line="360" w:lineRule="auto"/>
        <w:jc w:val="left"/>
        <w:rPr>
          <w:rFonts w:asciiTheme="minorEastAsia" w:hAnsiTheme="minorEastAsia"/>
          <w:b/>
          <w:sz w:val="28"/>
          <w:szCs w:val="28"/>
        </w:rPr>
      </w:pPr>
    </w:p>
    <w:p>
      <w:pPr>
        <w:spacing w:line="360" w:lineRule="auto"/>
        <w:jc w:val="left"/>
        <w:rPr>
          <w:b/>
          <w:sz w:val="28"/>
          <w:szCs w:val="28"/>
        </w:rPr>
      </w:pPr>
      <w:r>
        <w:rPr>
          <w:rFonts w:hint="eastAsia" w:asciiTheme="minorEastAsia" w:hAnsiTheme="minorEastAsia"/>
          <w:b/>
          <w:sz w:val="28"/>
          <w:szCs w:val="28"/>
        </w:rPr>
        <w:t>七、</w:t>
      </w:r>
      <w:r>
        <w:rPr>
          <w:rFonts w:hint="eastAsia"/>
          <w:b/>
          <w:sz w:val="28"/>
          <w:szCs w:val="28"/>
        </w:rPr>
        <w:t>供应商资质要求</w:t>
      </w:r>
    </w:p>
    <w:p>
      <w:pPr>
        <w:spacing w:line="360" w:lineRule="auto"/>
        <w:ind w:left="420" w:hanging="420" w:hangingChars="150"/>
        <w:rPr>
          <w:rFonts w:ascii="宋体"/>
          <w:sz w:val="28"/>
          <w:szCs w:val="28"/>
        </w:rPr>
      </w:pPr>
      <w:r>
        <w:rPr>
          <w:rFonts w:hint="eastAsia" w:ascii="宋体"/>
          <w:sz w:val="28"/>
          <w:szCs w:val="28"/>
        </w:rPr>
        <w:t>1. 必须是具有独立承担民事责任能力的在中华人民共和国境内注册的法人或其他组织，分公司投标的，必须由具有法人资格的总公司授权；</w:t>
      </w:r>
    </w:p>
    <w:p>
      <w:pPr>
        <w:spacing w:line="360" w:lineRule="auto"/>
        <w:ind w:left="420" w:hanging="420" w:hangingChars="150"/>
        <w:rPr>
          <w:rFonts w:ascii="宋体"/>
          <w:sz w:val="28"/>
          <w:szCs w:val="28"/>
        </w:rPr>
      </w:pPr>
      <w:r>
        <w:rPr>
          <w:rFonts w:hint="eastAsia" w:ascii="宋体"/>
          <w:sz w:val="28"/>
          <w:szCs w:val="28"/>
        </w:rPr>
        <w:t>2. 必须具有国家桶装水的生产证书、QS认证证书、采矿许可证。如是经销商或代理商还须同时提供《食品流通许可证》或《食品经营许可证》。</w:t>
      </w:r>
      <w:r>
        <w:rPr>
          <w:rFonts w:hint="eastAsia" w:ascii="宋体"/>
          <w:bCs/>
          <w:sz w:val="28"/>
          <w:szCs w:val="28"/>
        </w:rPr>
        <w:t>（提供有效期内的证书复印件）。</w:t>
      </w:r>
    </w:p>
    <w:p>
      <w:pPr>
        <w:spacing w:line="360" w:lineRule="auto"/>
        <w:rPr>
          <w:rFonts w:ascii="宋体"/>
          <w:sz w:val="28"/>
          <w:szCs w:val="28"/>
        </w:rPr>
      </w:pPr>
      <w:r>
        <w:rPr>
          <w:rFonts w:hint="eastAsia" w:ascii="宋体"/>
          <w:sz w:val="28"/>
          <w:szCs w:val="28"/>
        </w:rPr>
        <w:t>3. 具有2022年水质检测报告以及相关水质的证明材料。</w:t>
      </w:r>
    </w:p>
    <w:p>
      <w:pPr>
        <w:spacing w:line="360" w:lineRule="auto"/>
        <w:rPr>
          <w:rFonts w:ascii="宋体"/>
          <w:sz w:val="28"/>
          <w:szCs w:val="28"/>
        </w:rPr>
      </w:pPr>
      <w:r>
        <w:rPr>
          <w:rFonts w:hint="eastAsia" w:ascii="宋体"/>
          <w:sz w:val="28"/>
          <w:szCs w:val="28"/>
        </w:rPr>
        <w:t>4. 具备《中华人民共和国政府采购法》第二十二条资格条件；</w:t>
      </w:r>
    </w:p>
    <w:p>
      <w:pPr>
        <w:tabs>
          <w:tab w:val="left" w:pos="1260"/>
        </w:tabs>
        <w:spacing w:line="360" w:lineRule="auto"/>
        <w:ind w:left="986" w:leftChars="203" w:hanging="560" w:hangingChars="200"/>
        <w:rPr>
          <w:rFonts w:ascii="宋体"/>
          <w:sz w:val="28"/>
          <w:szCs w:val="28"/>
        </w:rPr>
      </w:pPr>
      <w:r>
        <w:rPr>
          <w:rFonts w:hint="eastAsia" w:ascii="宋体"/>
          <w:sz w:val="28"/>
          <w:szCs w:val="28"/>
        </w:rPr>
        <w:t>4.1 投标人必须具有良好的商业信誉和健全的财务会计制度且有依法缴纳税收和社会保障资金的良好记录；（提供由第三方机构出具体现财务状况的证明文件或银行出具的资信证明或专业担保机构出具的政府采购投标担保函；近期依法缴纳税收和社会保障资金的相关材料复印件）</w:t>
      </w:r>
    </w:p>
    <w:p>
      <w:pPr>
        <w:tabs>
          <w:tab w:val="left" w:pos="1260"/>
        </w:tabs>
        <w:spacing w:line="360" w:lineRule="auto"/>
        <w:ind w:left="426" w:leftChars="203"/>
        <w:rPr>
          <w:rFonts w:ascii="宋体"/>
          <w:sz w:val="28"/>
          <w:szCs w:val="28"/>
        </w:rPr>
      </w:pPr>
      <w:r>
        <w:rPr>
          <w:rFonts w:hint="eastAsia" w:ascii="宋体"/>
          <w:sz w:val="28"/>
          <w:szCs w:val="28"/>
        </w:rPr>
        <w:t>4.2 具有履行合同所必需的设备和专业技术能力；（需提供相关证明材料复印件）</w:t>
      </w:r>
    </w:p>
    <w:p>
      <w:pPr>
        <w:tabs>
          <w:tab w:val="left" w:pos="1260"/>
        </w:tabs>
        <w:spacing w:line="360" w:lineRule="auto"/>
        <w:ind w:firstLine="420" w:firstLineChars="150"/>
        <w:rPr>
          <w:rFonts w:ascii="宋体"/>
          <w:sz w:val="28"/>
          <w:szCs w:val="28"/>
        </w:rPr>
      </w:pPr>
      <w:r>
        <w:rPr>
          <w:rFonts w:hint="eastAsia" w:ascii="宋体"/>
          <w:sz w:val="28"/>
          <w:szCs w:val="28"/>
        </w:rPr>
        <w:t>4.3 投标人参加政府采购活动前三年内，在经营活动中没有重大违法记录；</w:t>
      </w:r>
    </w:p>
    <w:p>
      <w:pPr>
        <w:tabs>
          <w:tab w:val="left" w:pos="994"/>
        </w:tabs>
        <w:spacing w:line="360" w:lineRule="auto"/>
        <w:ind w:firstLine="420" w:firstLineChars="150"/>
        <w:rPr>
          <w:rFonts w:ascii="宋体"/>
          <w:sz w:val="28"/>
          <w:szCs w:val="28"/>
        </w:rPr>
      </w:pPr>
      <w:r>
        <w:rPr>
          <w:rFonts w:hint="eastAsia" w:ascii="宋体"/>
          <w:sz w:val="28"/>
          <w:szCs w:val="28"/>
        </w:rPr>
        <w:t>4.4 投标人必须符合法律、行政法规规定的其他条件；</w:t>
      </w:r>
    </w:p>
    <w:p>
      <w:pPr>
        <w:spacing w:line="360" w:lineRule="auto"/>
        <w:rPr>
          <w:rFonts w:ascii="宋体"/>
          <w:sz w:val="28"/>
          <w:szCs w:val="28"/>
        </w:rPr>
      </w:pPr>
      <w:r>
        <w:rPr>
          <w:rFonts w:hint="eastAsia" w:ascii="宋体"/>
          <w:sz w:val="28"/>
          <w:szCs w:val="28"/>
        </w:rPr>
        <w:t>5. 不同的投标人之间有下列情形之一的，不接受作为参与同一采购项目竞争的</w:t>
      </w:r>
    </w:p>
    <w:p>
      <w:pPr>
        <w:spacing w:line="360" w:lineRule="auto"/>
        <w:ind w:firstLine="420" w:firstLineChars="150"/>
        <w:rPr>
          <w:rFonts w:ascii="宋体"/>
          <w:sz w:val="28"/>
          <w:szCs w:val="28"/>
        </w:rPr>
      </w:pPr>
      <w:r>
        <w:rPr>
          <w:rFonts w:hint="eastAsia" w:ascii="宋体"/>
          <w:sz w:val="28"/>
          <w:szCs w:val="28"/>
        </w:rPr>
        <w:t>投标人：</w:t>
      </w:r>
    </w:p>
    <w:p>
      <w:pPr>
        <w:spacing w:line="360" w:lineRule="auto"/>
        <w:ind w:left="919" w:leftChars="171" w:hanging="560" w:hangingChars="200"/>
        <w:rPr>
          <w:rFonts w:ascii="宋体"/>
          <w:sz w:val="28"/>
          <w:szCs w:val="28"/>
        </w:rPr>
      </w:pPr>
      <w:r>
        <w:rPr>
          <w:rFonts w:hint="eastAsia" w:ascii="宋体"/>
          <w:sz w:val="28"/>
          <w:szCs w:val="28"/>
        </w:rPr>
        <w:t>5.1 法定代表人或单位负责人为同一人或者存在直接控股、管理关系的投标人。</w:t>
      </w:r>
    </w:p>
    <w:p>
      <w:pPr>
        <w:spacing w:line="360" w:lineRule="auto"/>
        <w:ind w:left="919" w:leftChars="171" w:hanging="560" w:hangingChars="200"/>
        <w:rPr>
          <w:rFonts w:ascii="宋体"/>
          <w:sz w:val="28"/>
          <w:szCs w:val="28"/>
        </w:rPr>
      </w:pPr>
      <w:r>
        <w:rPr>
          <w:rFonts w:hint="eastAsia" w:ascii="宋体"/>
          <w:sz w:val="28"/>
          <w:szCs w:val="28"/>
        </w:rPr>
        <w:t>5.2 为采购项目提供整体设计、规范编制或者项目管理、监理、检测等服务的投标人。</w:t>
      </w:r>
    </w:p>
    <w:p>
      <w:pPr>
        <w:spacing w:line="360" w:lineRule="auto"/>
        <w:rPr>
          <w:rFonts w:ascii="宋体"/>
          <w:sz w:val="28"/>
          <w:szCs w:val="28"/>
        </w:rPr>
      </w:pPr>
      <w:r>
        <w:rPr>
          <w:rFonts w:hint="eastAsia" w:ascii="宋体"/>
          <w:sz w:val="28"/>
          <w:szCs w:val="28"/>
        </w:rPr>
        <w:t>6. 已成功报名并获取本次招标文件。</w:t>
      </w:r>
    </w:p>
    <w:p>
      <w:pPr>
        <w:spacing w:line="360" w:lineRule="auto"/>
        <w:rPr>
          <w:rFonts w:ascii="宋体"/>
          <w:sz w:val="28"/>
          <w:szCs w:val="28"/>
        </w:rPr>
      </w:pPr>
      <w:r>
        <w:rPr>
          <w:rFonts w:hint="eastAsia" w:ascii="宋体"/>
          <w:sz w:val="28"/>
          <w:szCs w:val="28"/>
        </w:rPr>
        <w:t>7. 按照《财政部关于在政府采购活动中查询及使用信用记录有关问题的通知》（财库（2016）125号）的要求，被“信用中国”网站、“中国政府采购网”网站列入失信被执行人、重大税收违法案件当事人名单、政府采购严重违法失信行为记录名单的，不得参与本项目的政府采购活动。</w:t>
      </w:r>
    </w:p>
    <w:p>
      <w:pPr>
        <w:spacing w:line="360" w:lineRule="auto"/>
        <w:rPr>
          <w:rFonts w:ascii="宋体"/>
          <w:sz w:val="28"/>
          <w:szCs w:val="28"/>
        </w:rPr>
      </w:pPr>
      <w:r>
        <w:rPr>
          <w:rFonts w:hint="eastAsia" w:ascii="宋体"/>
          <w:sz w:val="28"/>
          <w:szCs w:val="28"/>
        </w:rPr>
        <w:t>8. 本项目不接受联合体投标。</w:t>
      </w:r>
    </w:p>
    <w:p>
      <w:pPr>
        <w:autoSpaceDE w:val="0"/>
        <w:autoSpaceDN w:val="0"/>
        <w:spacing w:line="360" w:lineRule="auto"/>
        <w:rPr>
          <w:rFonts w:ascii="宋体"/>
          <w:sz w:val="28"/>
          <w:szCs w:val="28"/>
        </w:rPr>
      </w:pPr>
      <w:r>
        <w:rPr>
          <w:rFonts w:hint="eastAsia" w:ascii="宋体"/>
          <w:sz w:val="28"/>
          <w:szCs w:val="28"/>
        </w:rPr>
        <w:t>9、投标人只允许为独立法人，不接受联合投标体投标，不得转包、分包。</w:t>
      </w:r>
    </w:p>
    <w:p>
      <w:pPr>
        <w:autoSpaceDE w:val="0"/>
        <w:autoSpaceDN w:val="0"/>
        <w:spacing w:line="360" w:lineRule="auto"/>
        <w:rPr>
          <w:rFonts w:cs="Times New Roman" w:asciiTheme="minorEastAsia" w:hAnsiTheme="minorEastAsia"/>
          <w:b/>
          <w:sz w:val="28"/>
          <w:szCs w:val="28"/>
          <w:shd w:val="clear" w:color="auto" w:fill="FFFFFF"/>
        </w:rPr>
      </w:pPr>
    </w:p>
    <w:p>
      <w:pPr>
        <w:autoSpaceDE w:val="0"/>
        <w:autoSpaceDN w:val="0"/>
        <w:spacing w:line="360" w:lineRule="auto"/>
        <w:rPr>
          <w:rFonts w:ascii="宋体"/>
          <w:sz w:val="28"/>
          <w:szCs w:val="28"/>
        </w:rPr>
      </w:pPr>
      <w:r>
        <w:rPr>
          <w:rFonts w:hint="eastAsia" w:cs="Times New Roman" w:asciiTheme="minorEastAsia" w:hAnsiTheme="minorEastAsia"/>
          <w:b/>
          <w:sz w:val="28"/>
          <w:szCs w:val="28"/>
          <w:shd w:val="clear" w:color="auto" w:fill="FFFFFF"/>
        </w:rPr>
        <w:t>八</w:t>
      </w:r>
      <w:r>
        <w:rPr>
          <w:rFonts w:cs="Times New Roman" w:asciiTheme="minorEastAsia" w:hAnsiTheme="minorEastAsia"/>
          <w:b/>
          <w:sz w:val="28"/>
          <w:szCs w:val="28"/>
          <w:shd w:val="clear" w:color="auto" w:fill="FFFFFF"/>
        </w:rPr>
        <w:t>、</w:t>
      </w:r>
      <w:r>
        <w:rPr>
          <w:rStyle w:val="10"/>
          <w:rFonts w:hint="eastAsia" w:asciiTheme="minorEastAsia" w:hAnsiTheme="minorEastAsia"/>
          <w:sz w:val="28"/>
          <w:szCs w:val="28"/>
        </w:rPr>
        <w:t>报名资料（所有资料均需盖公章）：</w:t>
      </w:r>
    </w:p>
    <w:p>
      <w:pPr>
        <w:ind w:firstLine="570"/>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注：报名材料需设置封面页及目录页，封面页内容包括项目编号、项目名称、公司名称、项目联系人姓名及手机号码，页面内容按市场调研函序列编排，报价函放置最后。</w:t>
      </w:r>
    </w:p>
    <w:p>
      <w:pPr>
        <w:spacing w:line="360" w:lineRule="auto"/>
        <w:jc w:val="left"/>
        <w:rPr>
          <w:b/>
          <w:sz w:val="28"/>
          <w:szCs w:val="28"/>
        </w:rPr>
      </w:pPr>
      <w:r>
        <w:rPr>
          <w:rFonts w:hint="eastAsia"/>
          <w:b/>
          <w:sz w:val="28"/>
          <w:szCs w:val="28"/>
        </w:rPr>
        <w:t>九、产品名称、商标、规格型号、生产厂家及协议金额</w:t>
      </w:r>
    </w:p>
    <w:tbl>
      <w:tblPr>
        <w:tblStyle w:val="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59"/>
        <w:gridCol w:w="1701"/>
        <w:gridCol w:w="311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8"/>
                <w:szCs w:val="28"/>
              </w:rPr>
            </w:pPr>
            <w:r>
              <w:rPr>
                <w:rFonts w:hint="eastAsia"/>
                <w:sz w:val="28"/>
                <w:szCs w:val="28"/>
              </w:rPr>
              <w:t>序号</w:t>
            </w:r>
          </w:p>
        </w:tc>
        <w:tc>
          <w:tcPr>
            <w:tcW w:w="1559" w:type="dxa"/>
          </w:tcPr>
          <w:p>
            <w:pPr>
              <w:spacing w:line="360" w:lineRule="auto"/>
              <w:jc w:val="center"/>
              <w:rPr>
                <w:sz w:val="28"/>
                <w:szCs w:val="28"/>
              </w:rPr>
            </w:pPr>
            <w:r>
              <w:rPr>
                <w:rFonts w:hint="eastAsia"/>
                <w:sz w:val="28"/>
                <w:szCs w:val="28"/>
              </w:rPr>
              <w:t>产品名称</w:t>
            </w:r>
          </w:p>
        </w:tc>
        <w:tc>
          <w:tcPr>
            <w:tcW w:w="1701" w:type="dxa"/>
          </w:tcPr>
          <w:p>
            <w:pPr>
              <w:spacing w:line="360" w:lineRule="auto"/>
              <w:jc w:val="center"/>
              <w:rPr>
                <w:sz w:val="28"/>
                <w:szCs w:val="28"/>
              </w:rPr>
            </w:pPr>
            <w:r>
              <w:rPr>
                <w:rFonts w:hint="eastAsia"/>
                <w:sz w:val="28"/>
                <w:szCs w:val="28"/>
              </w:rPr>
              <w:t>商标</w:t>
            </w:r>
          </w:p>
        </w:tc>
        <w:tc>
          <w:tcPr>
            <w:tcW w:w="3119" w:type="dxa"/>
          </w:tcPr>
          <w:p>
            <w:pPr>
              <w:spacing w:line="360" w:lineRule="auto"/>
              <w:jc w:val="center"/>
              <w:rPr>
                <w:sz w:val="28"/>
                <w:szCs w:val="28"/>
              </w:rPr>
            </w:pPr>
            <w:r>
              <w:rPr>
                <w:rFonts w:hint="eastAsia"/>
                <w:sz w:val="28"/>
                <w:szCs w:val="28"/>
              </w:rPr>
              <w:t>规格型号</w:t>
            </w:r>
          </w:p>
        </w:tc>
        <w:tc>
          <w:tcPr>
            <w:tcW w:w="1843" w:type="dxa"/>
          </w:tcPr>
          <w:p>
            <w:pPr>
              <w:spacing w:line="360" w:lineRule="auto"/>
              <w:jc w:val="center"/>
              <w:rPr>
                <w:sz w:val="28"/>
                <w:szCs w:val="28"/>
              </w:rPr>
            </w:pPr>
            <w:r>
              <w:rPr>
                <w:rFonts w:hint="eastAsia"/>
                <w:sz w:val="28"/>
                <w:szCs w:val="28"/>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8"/>
                <w:szCs w:val="28"/>
              </w:rPr>
            </w:pPr>
            <w:r>
              <w:rPr>
                <w:rFonts w:hint="eastAsia"/>
                <w:sz w:val="28"/>
                <w:szCs w:val="28"/>
              </w:rPr>
              <w:t>1</w:t>
            </w:r>
          </w:p>
        </w:tc>
        <w:tc>
          <w:tcPr>
            <w:tcW w:w="1559" w:type="dxa"/>
          </w:tcPr>
          <w:p>
            <w:pPr>
              <w:spacing w:line="360" w:lineRule="auto"/>
              <w:jc w:val="center"/>
              <w:rPr>
                <w:sz w:val="28"/>
                <w:szCs w:val="28"/>
              </w:rPr>
            </w:pPr>
            <w:r>
              <w:rPr>
                <w:rFonts w:hint="eastAsia"/>
                <w:sz w:val="28"/>
                <w:szCs w:val="28"/>
              </w:rPr>
              <w:t>饮用水桶装</w:t>
            </w:r>
          </w:p>
        </w:tc>
        <w:tc>
          <w:tcPr>
            <w:tcW w:w="1701" w:type="dxa"/>
          </w:tcPr>
          <w:p>
            <w:pPr>
              <w:spacing w:line="360" w:lineRule="auto"/>
              <w:jc w:val="center"/>
              <w:rPr>
                <w:sz w:val="28"/>
                <w:szCs w:val="28"/>
              </w:rPr>
            </w:pPr>
          </w:p>
        </w:tc>
        <w:tc>
          <w:tcPr>
            <w:tcW w:w="3119" w:type="dxa"/>
          </w:tcPr>
          <w:p>
            <w:pPr>
              <w:spacing w:line="360" w:lineRule="auto"/>
              <w:jc w:val="center"/>
              <w:rPr>
                <w:sz w:val="28"/>
                <w:szCs w:val="28"/>
              </w:rPr>
            </w:pPr>
            <w:r>
              <w:rPr>
                <w:rFonts w:hint="eastAsia" w:ascii="宋体"/>
                <w:sz w:val="28"/>
                <w:szCs w:val="28"/>
              </w:rPr>
              <w:t>18.9L/桶</w:t>
            </w:r>
          </w:p>
        </w:tc>
        <w:tc>
          <w:tcPr>
            <w:tcW w:w="1843" w:type="dxa"/>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sz w:val="28"/>
                <w:szCs w:val="28"/>
              </w:rPr>
            </w:pPr>
            <w:r>
              <w:rPr>
                <w:rFonts w:hint="eastAsia"/>
                <w:sz w:val="28"/>
                <w:szCs w:val="28"/>
              </w:rPr>
              <w:t>2</w:t>
            </w:r>
          </w:p>
        </w:tc>
        <w:tc>
          <w:tcPr>
            <w:tcW w:w="1559" w:type="dxa"/>
          </w:tcPr>
          <w:p>
            <w:pPr>
              <w:spacing w:line="360" w:lineRule="auto"/>
              <w:jc w:val="center"/>
              <w:rPr>
                <w:sz w:val="28"/>
                <w:szCs w:val="28"/>
              </w:rPr>
            </w:pPr>
            <w:r>
              <w:rPr>
                <w:rFonts w:hint="eastAsia"/>
                <w:sz w:val="28"/>
                <w:szCs w:val="28"/>
              </w:rPr>
              <w:t>饮用水桶装</w:t>
            </w:r>
          </w:p>
        </w:tc>
        <w:tc>
          <w:tcPr>
            <w:tcW w:w="1701" w:type="dxa"/>
          </w:tcPr>
          <w:p>
            <w:pPr>
              <w:spacing w:line="360" w:lineRule="auto"/>
              <w:jc w:val="center"/>
              <w:rPr>
                <w:sz w:val="28"/>
                <w:szCs w:val="28"/>
              </w:rPr>
            </w:pPr>
          </w:p>
        </w:tc>
        <w:tc>
          <w:tcPr>
            <w:tcW w:w="3119" w:type="dxa"/>
          </w:tcPr>
          <w:p>
            <w:pPr>
              <w:spacing w:line="360" w:lineRule="auto"/>
              <w:jc w:val="center"/>
              <w:rPr>
                <w:sz w:val="28"/>
                <w:szCs w:val="28"/>
              </w:rPr>
            </w:pPr>
            <w:r>
              <w:rPr>
                <w:rFonts w:hint="eastAsia" w:ascii="宋体"/>
                <w:sz w:val="28"/>
                <w:szCs w:val="28"/>
              </w:rPr>
              <w:t>11.3L/桶</w:t>
            </w:r>
          </w:p>
        </w:tc>
        <w:tc>
          <w:tcPr>
            <w:tcW w:w="1843" w:type="dxa"/>
          </w:tcPr>
          <w:p>
            <w:pPr>
              <w:spacing w:line="360" w:lineRule="auto"/>
              <w:jc w:val="center"/>
              <w:rPr>
                <w:sz w:val="28"/>
                <w:szCs w:val="28"/>
              </w:rPr>
            </w:pPr>
          </w:p>
        </w:tc>
      </w:tr>
    </w:tbl>
    <w:p>
      <w:pPr>
        <w:pStyle w:val="16"/>
        <w:numPr>
          <w:ilvl w:val="0"/>
          <w:numId w:val="5"/>
        </w:numPr>
        <w:spacing w:line="360" w:lineRule="auto"/>
        <w:ind w:firstLineChars="0"/>
        <w:jc w:val="left"/>
        <w:rPr>
          <w:rFonts w:asciiTheme="minorEastAsia" w:hAnsiTheme="minorEastAsia"/>
          <w:sz w:val="28"/>
          <w:szCs w:val="28"/>
        </w:rPr>
      </w:pPr>
      <w:r>
        <w:rPr>
          <w:rFonts w:hint="eastAsia" w:asciiTheme="minorEastAsia" w:hAnsiTheme="minorEastAsia"/>
          <w:sz w:val="28"/>
          <w:szCs w:val="28"/>
        </w:rPr>
        <w:t>本报价是投标人每桶的供水价格。</w:t>
      </w:r>
    </w:p>
    <w:p>
      <w:pPr>
        <w:pStyle w:val="16"/>
        <w:numPr>
          <w:ilvl w:val="0"/>
          <w:numId w:val="5"/>
        </w:numPr>
        <w:spacing w:line="360" w:lineRule="auto"/>
        <w:ind w:firstLineChars="0"/>
        <w:jc w:val="left"/>
        <w:rPr>
          <w:rFonts w:asciiTheme="minorEastAsia" w:hAnsiTheme="minorEastAsia"/>
          <w:sz w:val="28"/>
          <w:szCs w:val="28"/>
        </w:rPr>
      </w:pPr>
      <w:r>
        <w:rPr>
          <w:rFonts w:hint="eastAsia" w:asciiTheme="minorEastAsia" w:hAnsiTheme="minorEastAsia"/>
          <w:sz w:val="28"/>
          <w:szCs w:val="28"/>
        </w:rPr>
        <w:t>本报价是投标人送达至用户饮水机位置的价格，不再另加运输及搬运费用。</w:t>
      </w:r>
    </w:p>
    <w:p>
      <w:pPr>
        <w:pStyle w:val="16"/>
        <w:numPr>
          <w:ilvl w:val="0"/>
          <w:numId w:val="5"/>
        </w:numPr>
        <w:spacing w:line="360" w:lineRule="auto"/>
        <w:ind w:firstLineChars="0"/>
        <w:jc w:val="left"/>
        <w:rPr>
          <w:rFonts w:asciiTheme="minorEastAsia" w:hAnsiTheme="minorEastAsia"/>
          <w:sz w:val="28"/>
          <w:szCs w:val="28"/>
        </w:rPr>
      </w:pPr>
      <w:r>
        <w:rPr>
          <w:rFonts w:hint="eastAsia" w:asciiTheme="minorEastAsia" w:hAnsiTheme="minorEastAsia"/>
          <w:sz w:val="28"/>
          <w:szCs w:val="28"/>
        </w:rPr>
        <w:t>本项目以人民币报价。</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十</w:t>
      </w:r>
      <w:r>
        <w:rPr>
          <w:rFonts w:cs="Times New Roman" w:asciiTheme="minorEastAsia" w:hAnsiTheme="minorEastAsia"/>
          <w:sz w:val="28"/>
          <w:szCs w:val="28"/>
          <w:shd w:val="clear" w:color="auto" w:fill="FFFFFF"/>
        </w:rPr>
        <w:t>、</w:t>
      </w:r>
      <w:r>
        <w:rPr>
          <w:rStyle w:val="10"/>
          <w:rFonts w:hint="eastAsia" w:asciiTheme="minorEastAsia" w:hAnsiTheme="minorEastAsia"/>
          <w:sz w:val="28"/>
          <w:szCs w:val="28"/>
        </w:rPr>
        <w:t>如需组织现场市场调研会议，将另行通知已报名企业。</w:t>
      </w:r>
    </w:p>
    <w:p>
      <w:pPr>
        <w:rPr>
          <w:rFonts w:asciiTheme="minorEastAsia" w:hAnsiTheme="minorEastAsia"/>
          <w:sz w:val="28"/>
          <w:szCs w:val="28"/>
        </w:rPr>
      </w:pPr>
      <w:r>
        <w:rPr>
          <w:rFonts w:hint="eastAsia" w:cs="Times New Roman" w:asciiTheme="minorEastAsia" w:hAnsiTheme="minorEastAsia"/>
          <w:sz w:val="28"/>
          <w:szCs w:val="28"/>
          <w:shd w:val="clear" w:color="auto" w:fill="FFFFFF"/>
        </w:rPr>
        <w:t xml:space="preserve">    注：如有虚假资料、企业违规行为，一经发现，将列入我院供应商黑名单。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00000005"/>
    <w:multiLevelType w:val="multilevel"/>
    <w:tmpl w:val="00000005"/>
    <w:lvl w:ilvl="0" w:tentative="0">
      <w:start w:val="1"/>
      <w:numFmt w:val="chineseCountingThousand"/>
      <w:pStyle w:val="18"/>
      <w:lvlText w:val="%1、"/>
      <w:lvlJc w:val="left"/>
      <w:pPr>
        <w:tabs>
          <w:tab w:val="left" w:pos="425"/>
        </w:tabs>
        <w:ind w:left="425" w:hanging="425"/>
      </w:pPr>
      <w:rPr>
        <w:rFonts w:hint="eastAsia"/>
        <w:lang w:val="en-US"/>
      </w:rPr>
    </w:lvl>
    <w:lvl w:ilvl="1" w:tentative="0">
      <w:start w:val="1"/>
      <w:numFmt w:val="decimal"/>
      <w:lvlText w:val="%2."/>
      <w:lvlJc w:val="left"/>
      <w:pPr>
        <w:tabs>
          <w:tab w:val="left" w:pos="420"/>
        </w:tabs>
        <w:ind w:left="420" w:hanging="420"/>
      </w:pPr>
      <w:rPr>
        <w:rFonts w:hint="eastAsia"/>
      </w:rPr>
    </w:lvl>
    <w:lvl w:ilvl="2" w:tentative="0">
      <w:start w:val="1"/>
      <w:numFmt w:val="decimal"/>
      <w:lvlText w:val="%31.1"/>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7"/>
    <w:multiLevelType w:val="multilevel"/>
    <w:tmpl w:val="00000007"/>
    <w:lvl w:ilvl="0" w:tentative="0">
      <w:start w:val="1"/>
      <w:numFmt w:val="decimal"/>
      <w:pStyle w:val="20"/>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55C755E8"/>
    <w:multiLevelType w:val="singleLevel"/>
    <w:tmpl w:val="55C755E8"/>
    <w:lvl w:ilvl="0" w:tentative="0">
      <w:start w:val="1"/>
      <w:numFmt w:val="bullet"/>
      <w:lvlText w:val=""/>
      <w:lvlJc w:val="left"/>
      <w:pPr>
        <w:ind w:left="420" w:hanging="420"/>
      </w:pPr>
      <w:rPr>
        <w:rFonts w:hint="default" w:ascii="Wingdings" w:hAnsi="Wingdings"/>
      </w:rPr>
    </w:lvl>
  </w:abstractNum>
  <w:abstractNum w:abstractNumId="4">
    <w:nsid w:val="7C534B7F"/>
    <w:multiLevelType w:val="multilevel"/>
    <w:tmpl w:val="7C534B7F"/>
    <w:lvl w:ilvl="0" w:tentative="0">
      <w:start w:val="1"/>
      <w:numFmt w:val="decimal"/>
      <w:lvlText w:val="%1."/>
      <w:lvlJc w:val="left"/>
      <w:pPr>
        <w:ind w:left="786"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Y1ZjY2N2FlNGRiMTYwNmI1MmNlYTBkM2Q0MTM3OGYifQ=="/>
  </w:docVars>
  <w:rsids>
    <w:rsidRoot w:val="00E45983"/>
    <w:rsid w:val="000509C2"/>
    <w:rsid w:val="000C7BEE"/>
    <w:rsid w:val="000F5304"/>
    <w:rsid w:val="00104E98"/>
    <w:rsid w:val="001071D5"/>
    <w:rsid w:val="00140E19"/>
    <w:rsid w:val="001D2D28"/>
    <w:rsid w:val="002210C7"/>
    <w:rsid w:val="0024787C"/>
    <w:rsid w:val="00323C3C"/>
    <w:rsid w:val="0032691F"/>
    <w:rsid w:val="0038676B"/>
    <w:rsid w:val="003A1991"/>
    <w:rsid w:val="00416752"/>
    <w:rsid w:val="004242C9"/>
    <w:rsid w:val="00430884"/>
    <w:rsid w:val="0044157A"/>
    <w:rsid w:val="00487B7A"/>
    <w:rsid w:val="00566ABC"/>
    <w:rsid w:val="005B3F88"/>
    <w:rsid w:val="005E1BE3"/>
    <w:rsid w:val="00611AF2"/>
    <w:rsid w:val="00651DF2"/>
    <w:rsid w:val="00684519"/>
    <w:rsid w:val="00741141"/>
    <w:rsid w:val="007C43DD"/>
    <w:rsid w:val="00816105"/>
    <w:rsid w:val="0081612E"/>
    <w:rsid w:val="00895119"/>
    <w:rsid w:val="0095537C"/>
    <w:rsid w:val="00967020"/>
    <w:rsid w:val="009D6A9F"/>
    <w:rsid w:val="009E50A5"/>
    <w:rsid w:val="00A01EC2"/>
    <w:rsid w:val="00A14C4B"/>
    <w:rsid w:val="00A258B0"/>
    <w:rsid w:val="00AF72BD"/>
    <w:rsid w:val="00BE79B9"/>
    <w:rsid w:val="00BF0D91"/>
    <w:rsid w:val="00C960F1"/>
    <w:rsid w:val="00D0551D"/>
    <w:rsid w:val="00D34D0A"/>
    <w:rsid w:val="00D51E53"/>
    <w:rsid w:val="00D6281F"/>
    <w:rsid w:val="00D65801"/>
    <w:rsid w:val="00E03D6D"/>
    <w:rsid w:val="00E26E0F"/>
    <w:rsid w:val="00E306CB"/>
    <w:rsid w:val="00E45983"/>
    <w:rsid w:val="00E84340"/>
    <w:rsid w:val="00ED032C"/>
    <w:rsid w:val="00F85BCE"/>
    <w:rsid w:val="00FA24CD"/>
    <w:rsid w:val="00FC2159"/>
    <w:rsid w:val="00FF3A7F"/>
    <w:rsid w:val="02F02B7C"/>
    <w:rsid w:val="0A1A4CA3"/>
    <w:rsid w:val="0EDC6350"/>
    <w:rsid w:val="10E95364"/>
    <w:rsid w:val="1D306213"/>
    <w:rsid w:val="1E2636EF"/>
    <w:rsid w:val="2544534F"/>
    <w:rsid w:val="38D06B0E"/>
    <w:rsid w:val="3A7D1661"/>
    <w:rsid w:val="3F0D30BC"/>
    <w:rsid w:val="413D61EC"/>
    <w:rsid w:val="6FFF17BE"/>
    <w:rsid w:val="70252114"/>
    <w:rsid w:val="796120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7"/>
    <w:unhideWhenUsed/>
    <w:qFormat/>
    <w:uiPriority w:val="9"/>
    <w:pPr>
      <w:keepNext/>
      <w:keepLines/>
      <w:spacing w:before="260" w:after="260" w:line="416" w:lineRule="auto"/>
      <w:outlineLvl w:val="2"/>
    </w:pPr>
    <w:rPr>
      <w:rFonts w:ascii="宋体" w:hAnsi="宋体" w:eastAsia="宋体" w:cs="Times New Roman"/>
      <w:b/>
      <w:bCs/>
      <w:color w:val="000000"/>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Emphasis"/>
    <w:qFormat/>
    <w:uiPriority w:val="0"/>
    <w:rPr>
      <w:i/>
      <w:iCs/>
    </w:rPr>
  </w:style>
  <w:style w:type="character" w:styleId="12">
    <w:name w:val="Hyperlink"/>
    <w:basedOn w:val="9"/>
    <w:unhideWhenUsed/>
    <w:qFormat/>
    <w:uiPriority w:val="99"/>
    <w:rPr>
      <w:color w:val="0000FF"/>
      <w:u w:val="single"/>
    </w:rPr>
  </w:style>
  <w:style w:type="character" w:customStyle="1" w:styleId="13">
    <w:name w:val="页眉 Char"/>
    <w:basedOn w:val="9"/>
    <w:link w:val="5"/>
    <w:semiHidden/>
    <w:qFormat/>
    <w:uiPriority w:val="99"/>
    <w:rPr>
      <w:sz w:val="18"/>
      <w:szCs w:val="18"/>
    </w:rPr>
  </w:style>
  <w:style w:type="character" w:customStyle="1" w:styleId="14">
    <w:name w:val="页脚 Char"/>
    <w:basedOn w:val="9"/>
    <w:link w:val="4"/>
    <w:semiHidden/>
    <w:qFormat/>
    <w:uiPriority w:val="99"/>
    <w:rPr>
      <w:sz w:val="18"/>
      <w:szCs w:val="18"/>
    </w:rPr>
  </w:style>
  <w:style w:type="character" w:customStyle="1" w:styleId="15">
    <w:name w:val="标题 1 Char"/>
    <w:basedOn w:val="9"/>
    <w:link w:val="2"/>
    <w:qFormat/>
    <w:uiPriority w:val="9"/>
    <w:rPr>
      <w:b/>
      <w:bCs/>
      <w:kern w:val="44"/>
      <w:sz w:val="44"/>
      <w:szCs w:val="44"/>
    </w:rPr>
  </w:style>
  <w:style w:type="paragraph" w:styleId="16">
    <w:name w:val="List Paragraph"/>
    <w:basedOn w:val="1"/>
    <w:link w:val="22"/>
    <w:unhideWhenUsed/>
    <w:qFormat/>
    <w:uiPriority w:val="34"/>
    <w:pPr>
      <w:ind w:firstLine="420" w:firstLineChars="200"/>
    </w:pPr>
  </w:style>
  <w:style w:type="character" w:customStyle="1" w:styleId="17">
    <w:name w:val="标题 3 Char"/>
    <w:basedOn w:val="9"/>
    <w:link w:val="3"/>
    <w:uiPriority w:val="9"/>
    <w:rPr>
      <w:rFonts w:ascii="宋体" w:hAnsi="宋体"/>
      <w:b/>
      <w:bCs/>
      <w:color w:val="000000"/>
      <w:kern w:val="2"/>
      <w:sz w:val="32"/>
      <w:szCs w:val="32"/>
    </w:rPr>
  </w:style>
  <w:style w:type="paragraph" w:customStyle="1" w:styleId="18">
    <w:name w:val="合同标题一"/>
    <w:basedOn w:val="2"/>
    <w:uiPriority w:val="0"/>
    <w:pPr>
      <w:numPr>
        <w:ilvl w:val="0"/>
        <w:numId w:val="1"/>
      </w:numPr>
      <w:tabs>
        <w:tab w:val="left" w:pos="360"/>
      </w:tabs>
      <w:spacing w:line="576" w:lineRule="auto"/>
    </w:pPr>
    <w:rPr>
      <w:rFonts w:ascii="宋体" w:hAnsi="宋体" w:eastAsia="宋体" w:cs="Times New Roman"/>
      <w:color w:val="000000"/>
      <w:sz w:val="24"/>
      <w:szCs w:val="24"/>
    </w:rPr>
  </w:style>
  <w:style w:type="paragraph" w:customStyle="1" w:styleId="19">
    <w:name w:val="样式 样式 纯文本 + Verdana 行距: 1.5 倍行距 + 左侧:  2 字符 首行缩进:  2 字符"/>
    <w:basedOn w:val="1"/>
    <w:uiPriority w:val="0"/>
    <w:pPr>
      <w:spacing w:line="432" w:lineRule="auto"/>
      <w:ind w:left="420" w:leftChars="200" w:firstLine="420" w:firstLineChars="200"/>
    </w:pPr>
    <w:rPr>
      <w:rFonts w:ascii="Verdana" w:hAnsi="Verdana" w:eastAsia="宋体" w:cs="宋体"/>
      <w:color w:val="000000"/>
      <w:szCs w:val="20"/>
    </w:rPr>
  </w:style>
  <w:style w:type="paragraph" w:customStyle="1" w:styleId="20">
    <w:name w:val="段落编号正文"/>
    <w:basedOn w:val="1"/>
    <w:uiPriority w:val="0"/>
    <w:pPr>
      <w:numPr>
        <w:ilvl w:val="0"/>
        <w:numId w:val="2"/>
      </w:numPr>
      <w:snapToGrid w:val="0"/>
      <w:spacing w:line="360" w:lineRule="auto"/>
    </w:pPr>
    <w:rPr>
      <w:rFonts w:ascii="宋体" w:hAnsi="宋体" w:eastAsia="宋体" w:cs="Times New Roman"/>
      <w:color w:val="000000"/>
      <w:szCs w:val="21"/>
    </w:rPr>
  </w:style>
  <w:style w:type="paragraph" w:customStyle="1" w:styleId="21">
    <w:name w:val="表格文字"/>
    <w:basedOn w:val="1"/>
    <w:qFormat/>
    <w:uiPriority w:val="0"/>
    <w:pPr>
      <w:spacing w:before="25" w:after="25"/>
    </w:pPr>
    <w:rPr>
      <w:bCs/>
      <w:spacing w:val="10"/>
    </w:rPr>
  </w:style>
  <w:style w:type="character" w:customStyle="1" w:styleId="22">
    <w:name w:val="列出段落 Char"/>
    <w:link w:val="16"/>
    <w:qFormat/>
    <w:uiPriority w:val="34"/>
    <w:rPr>
      <w:rFonts w:asciiTheme="minorHAnsi" w:hAnsiTheme="minorHAnsi" w:eastAsiaTheme="minorEastAsia" w:cstheme="minorBidi"/>
      <w:kern w:val="2"/>
      <w:sz w:val="21"/>
      <w:szCs w:val="22"/>
    </w:rPr>
  </w:style>
  <w:style w:type="paragraph" w:customStyle="1" w:styleId="23">
    <w:name w:val="列出段落1"/>
    <w:basedOn w:val="1"/>
    <w:qFormat/>
    <w:uiPriority w:val="34"/>
    <w:pPr>
      <w:spacing w:line="360" w:lineRule="auto"/>
      <w:ind w:left="720"/>
      <w:contextualSpacing/>
    </w:pPr>
    <w:rPr>
      <w:rFonts w:ascii="Times" w:hAnsi="Times" w:eastAsia="宋体"/>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1855</Words>
  <Characters>1991</Characters>
  <Lines>15</Lines>
  <Paragraphs>4</Paragraphs>
  <TotalTime>133</TotalTime>
  <ScaleCrop>false</ScaleCrop>
  <LinksUpToDate>false</LinksUpToDate>
  <CharactersWithSpaces>2021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osaky</cp:lastModifiedBy>
  <dcterms:modified xsi:type="dcterms:W3CDTF">2023-04-23T02:03:31Z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1701F21262C040F9B70439F62E33CCCF</vt:lpwstr>
  </property>
</Properties>
</file>