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B" w:rsidRPr="00E306CB" w:rsidRDefault="00E306CB" w:rsidP="00E306CB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E306CB">
        <w:rPr>
          <w:rFonts w:ascii="Times New Roman" w:hAnsi="Times New Roman" w:hint="eastAsia"/>
          <w:b/>
          <w:bCs/>
          <w:sz w:val="44"/>
          <w:szCs w:val="44"/>
        </w:rPr>
        <w:t>南方医科大学口腔医院</w:t>
      </w:r>
    </w:p>
    <w:p w:rsidR="00967020" w:rsidRPr="00ED032C" w:rsidRDefault="00E306CB" w:rsidP="00E306CB">
      <w:pPr>
        <w:jc w:val="center"/>
        <w:rPr>
          <w:b/>
          <w:sz w:val="44"/>
          <w:szCs w:val="44"/>
        </w:rPr>
      </w:pPr>
      <w:r w:rsidRPr="00E306CB">
        <w:rPr>
          <w:rFonts w:ascii="Times New Roman" w:hAnsi="Times New Roman" w:hint="eastAsia"/>
          <w:b/>
          <w:bCs/>
          <w:sz w:val="44"/>
          <w:szCs w:val="44"/>
        </w:rPr>
        <w:t>院</w:t>
      </w:r>
      <w:r w:rsidR="0081612E" w:rsidRPr="0081612E">
        <w:rPr>
          <w:rFonts w:ascii="Times New Roman" w:hAnsi="Times New Roman" w:hint="eastAsia"/>
          <w:b/>
          <w:bCs/>
          <w:sz w:val="44"/>
          <w:szCs w:val="44"/>
        </w:rPr>
        <w:t>校园网专线</w:t>
      </w:r>
      <w:r>
        <w:rPr>
          <w:rFonts w:ascii="Times New Roman" w:hAnsi="Times New Roman" w:hint="eastAsia"/>
          <w:b/>
          <w:bCs/>
          <w:sz w:val="44"/>
          <w:szCs w:val="44"/>
        </w:rPr>
        <w:t>项目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E306CB" w:rsidRPr="00AF72BD">
        <w:rPr>
          <w:rFonts w:asciiTheme="minorEastAsia" w:hAnsiTheme="minorEastAsia"/>
          <w:sz w:val="28"/>
          <w:szCs w:val="28"/>
          <w:shd w:val="clear" w:color="auto" w:fill="FFFFFF"/>
        </w:rPr>
        <w:t>医院</w:t>
      </w:r>
      <w:r w:rsidR="00E306CB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区间专线</w:t>
      </w:r>
      <w:r w:rsidR="00ED032C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AF72BD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81612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NKY20230314008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81612E" w:rsidRPr="0081612E">
        <w:rPr>
          <w:rFonts w:asciiTheme="minorEastAsia" w:hAnsiTheme="minorEastAsia" w:cs="Times New Roman"/>
          <w:sz w:val="28"/>
          <w:szCs w:val="28"/>
          <w:shd w:val="clear" w:color="auto" w:fill="FFFFFF"/>
        </w:rPr>
        <w:t>112407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A258B0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3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E306CB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24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AF72BD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AF72BD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AF72BD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AF72BD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AF72BD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AF72BD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ED032C" w:rsidRPr="00AF72BD" w:rsidRDefault="00E306CB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项目咨询人及电话：朱</w:t>
      </w:r>
      <w:r w:rsidR="00ED032C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老师020-84245208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（信息科）</w:t>
      </w:r>
    </w:p>
    <w:p w:rsidR="00967020" w:rsidRPr="00AF72BD" w:rsidRDefault="00ED032C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调研资料</w:t>
      </w:r>
      <w:r w:rsidR="00FA24CD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 020-84427043</w:t>
      </w:r>
    </w:p>
    <w:p w:rsidR="00967020" w:rsidRPr="00AF72BD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AF72BD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AF72BD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AF72BD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ED032C" w:rsidRPr="00AF72BD" w:rsidRDefault="00A258B0" w:rsidP="00ED032C">
      <w:pPr>
        <w:jc w:val="center"/>
        <w:rPr>
          <w:rFonts w:asciiTheme="minorEastAsia" w:hAnsiTheme="minorEastAsia"/>
          <w:b/>
          <w:sz w:val="28"/>
          <w:szCs w:val="28"/>
        </w:rPr>
      </w:pPr>
      <w:r w:rsidRPr="00AF72BD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AF72BD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ED032C" w:rsidRPr="00AF72BD">
        <w:rPr>
          <w:rFonts w:asciiTheme="minorEastAsia" w:hAnsiTheme="minorEastAsia" w:hint="eastAsia"/>
          <w:sz w:val="28"/>
          <w:szCs w:val="28"/>
        </w:rPr>
        <w:t>南方医科大学口腔医院</w:t>
      </w:r>
      <w:r w:rsidR="0081612E">
        <w:rPr>
          <w:rFonts w:asciiTheme="minorEastAsia" w:hAnsiTheme="minorEastAsia" w:hint="eastAsia"/>
          <w:bCs/>
          <w:sz w:val="28"/>
          <w:szCs w:val="28"/>
        </w:rPr>
        <w:t>校园网专线</w:t>
      </w:r>
      <w:r w:rsidR="00E306CB" w:rsidRPr="00AF72BD">
        <w:rPr>
          <w:rFonts w:asciiTheme="minorEastAsia" w:hAnsiTheme="minorEastAsia" w:hint="eastAsia"/>
          <w:sz w:val="28"/>
          <w:szCs w:val="28"/>
        </w:rPr>
        <w:t>项目</w:t>
      </w:r>
    </w:p>
    <w:p w:rsidR="00A258B0" w:rsidRPr="00AF72BD" w:rsidRDefault="00ED032C" w:rsidP="00ED032C">
      <w:pPr>
        <w:autoSpaceDE w:val="0"/>
        <w:autoSpaceDN w:val="0"/>
        <w:spacing w:line="360" w:lineRule="auto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1</w:t>
      </w:r>
      <w:r w:rsidR="00A258B0" w:rsidRPr="00AF72BD">
        <w:rPr>
          <w:rFonts w:asciiTheme="minorEastAsia" w:hAnsiTheme="minorEastAsia" w:hint="eastAsia"/>
          <w:sz w:val="28"/>
          <w:szCs w:val="28"/>
        </w:rPr>
        <w:t>.服务地点：南方医科大学口腔医院（广东省口腔医院）</w:t>
      </w:r>
    </w:p>
    <w:p w:rsidR="00816105" w:rsidRPr="00AF72BD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AF72BD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五</w:t>
      </w:r>
      <w:r w:rsidR="000509C2" w:rsidRPr="00AF72BD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D0551D" w:rsidRPr="00AF72BD">
        <w:rPr>
          <w:rFonts w:asciiTheme="minorEastAsia" w:hAnsiTheme="minorEastAsia" w:hint="eastAsia"/>
          <w:sz w:val="28"/>
          <w:szCs w:val="28"/>
        </w:rPr>
        <w:t>项目背景：</w:t>
      </w:r>
    </w:p>
    <w:p w:rsidR="0081612E" w:rsidRDefault="0081612E" w:rsidP="0081612E">
      <w:pPr>
        <w:pStyle w:val="10"/>
        <w:ind w:left="-57" w:right="-52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南方医科大学口腔医院，始建于</w:t>
      </w:r>
      <w:r>
        <w:rPr>
          <w:rFonts w:ascii="Times New Roman" w:hAnsi="Times New Roman" w:cs="Times New Roman" w:hint="eastAsia"/>
          <w:sz w:val="24"/>
          <w:szCs w:val="24"/>
        </w:rPr>
        <w:t>1962</w:t>
      </w:r>
      <w:r>
        <w:rPr>
          <w:rFonts w:ascii="Times New Roman" w:hAnsi="Times New Roman" w:cs="Times New Roman" w:hint="eastAsia"/>
          <w:sz w:val="24"/>
          <w:szCs w:val="24"/>
        </w:rPr>
        <w:t>年，是广东省最早建立的口腔医院，也是我国最早建立的五大临床口腔医院之一。医院于广州有四个院区，分别为总院区（院本部）、番禺院区、海珠广场院区、盘福院区。</w:t>
      </w:r>
    </w:p>
    <w:p w:rsidR="00D0551D" w:rsidRPr="00AF72BD" w:rsidRDefault="0081612E" w:rsidP="0081612E">
      <w:pPr>
        <w:pStyle w:val="10"/>
        <w:ind w:left="-57" w:right="-52" w:firstLineChars="200" w:firstLine="48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>医院租用的联通</w:t>
      </w:r>
      <w:r>
        <w:rPr>
          <w:rFonts w:ascii="Times New Roman" w:hAnsi="Times New Roman" w:cs="Times New Roman" w:hint="eastAsia"/>
          <w:sz w:val="24"/>
          <w:szCs w:val="24"/>
        </w:rPr>
        <w:t>20M</w:t>
      </w:r>
      <w:r>
        <w:rPr>
          <w:rFonts w:ascii="Times New Roman" w:hAnsi="Times New Roman" w:cs="Times New Roman" w:hint="eastAsia"/>
          <w:sz w:val="24"/>
          <w:szCs w:val="24"/>
        </w:rPr>
        <w:t>电路用于医院连接南方医科大学校园网的业务使用，该线路将于</w:t>
      </w:r>
      <w:r>
        <w:rPr>
          <w:rFonts w:ascii="Times New Roman" w:hAnsi="Times New Roman" w:cs="Times New Roman" w:hint="eastAsia"/>
          <w:sz w:val="24"/>
          <w:szCs w:val="24"/>
        </w:rPr>
        <w:t>2023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日到期。专线已使用满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年，</w:t>
      </w:r>
      <w:r w:rsidRPr="00CE4AC7">
        <w:rPr>
          <w:rFonts w:ascii="Times New Roman" w:hAnsi="Times New Roman" w:cs="Times New Roman" w:hint="eastAsia"/>
          <w:sz w:val="24"/>
          <w:szCs w:val="24"/>
        </w:rPr>
        <w:t>根据医院</w:t>
      </w:r>
      <w:r>
        <w:rPr>
          <w:rFonts w:ascii="Times New Roman" w:hAnsi="Times New Roman" w:cs="Times New Roman" w:hint="eastAsia"/>
          <w:sz w:val="24"/>
          <w:szCs w:val="24"/>
        </w:rPr>
        <w:t>合同管理相关规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定需要</w:t>
      </w:r>
      <w:r w:rsidRPr="00CE4AC7">
        <w:rPr>
          <w:rFonts w:ascii="Times New Roman" w:hAnsi="Times New Roman" w:cs="Times New Roman" w:hint="eastAsia"/>
          <w:sz w:val="24"/>
          <w:szCs w:val="24"/>
        </w:rPr>
        <w:t>重新招标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D0551D" w:rsidRPr="00AF72BD" w:rsidRDefault="00816105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六、</w:t>
      </w:r>
      <w:bookmarkStart w:id="1" w:name="_Toc128557412"/>
      <w:bookmarkEnd w:id="0"/>
      <w:r w:rsidR="00D0551D" w:rsidRPr="00AF72BD">
        <w:rPr>
          <w:rFonts w:asciiTheme="minorEastAsia" w:hAnsiTheme="minorEastAsia" w:hint="eastAsia"/>
          <w:sz w:val="28"/>
          <w:szCs w:val="28"/>
        </w:rPr>
        <w:t>建设目标</w:t>
      </w:r>
    </w:p>
    <w:p w:rsidR="0081612E" w:rsidRPr="00D370B9" w:rsidRDefault="0081612E" w:rsidP="0081612E">
      <w:pPr>
        <w:pStyle w:val="ab"/>
        <w:ind w:left="843" w:firstLineChars="0" w:firstLine="0"/>
        <w:rPr>
          <w:b/>
          <w:bCs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hAnsi="Times New Roman" w:hint="eastAsia"/>
          <w:b/>
          <w:bCs/>
        </w:rPr>
        <w:t>校园网专线</w:t>
      </w:r>
    </w:p>
    <w:tbl>
      <w:tblPr>
        <w:tblStyle w:val="a8"/>
        <w:tblW w:w="9781" w:type="dxa"/>
        <w:tblInd w:w="-742" w:type="dxa"/>
        <w:tblLayout w:type="fixed"/>
        <w:tblLook w:val="04A0"/>
      </w:tblPr>
      <w:tblGrid>
        <w:gridCol w:w="709"/>
        <w:gridCol w:w="1418"/>
        <w:gridCol w:w="1701"/>
        <w:gridCol w:w="1701"/>
        <w:gridCol w:w="1134"/>
        <w:gridCol w:w="1134"/>
        <w:gridCol w:w="1134"/>
        <w:gridCol w:w="850"/>
      </w:tblGrid>
      <w:tr w:rsidR="0081612E" w:rsidTr="00936676">
        <w:tc>
          <w:tcPr>
            <w:tcW w:w="709" w:type="dxa"/>
            <w:vAlign w:val="center"/>
          </w:tcPr>
          <w:p w:rsidR="0081612E" w:rsidRPr="00B60E36" w:rsidRDefault="0081612E" w:rsidP="00936676">
            <w:pPr>
              <w:rPr>
                <w:b/>
                <w:bCs/>
                <w:sz w:val="20"/>
                <w:szCs w:val="20"/>
              </w:rPr>
            </w:pPr>
            <w:r w:rsidRPr="00B60E36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81612E" w:rsidRPr="00B60E36" w:rsidRDefault="0081612E" w:rsidP="00936676">
            <w:pPr>
              <w:rPr>
                <w:b/>
                <w:bCs/>
                <w:sz w:val="20"/>
                <w:szCs w:val="20"/>
              </w:rPr>
            </w:pPr>
            <w:r w:rsidRPr="00B60E36">
              <w:rPr>
                <w:rFonts w:ascii="宋体" w:hAnsi="宋体" w:cs="宋体" w:hint="eastAsia"/>
                <w:kern w:val="0"/>
                <w:sz w:val="20"/>
                <w:szCs w:val="20"/>
              </w:rPr>
              <w:t>专线名称</w:t>
            </w:r>
          </w:p>
        </w:tc>
        <w:tc>
          <w:tcPr>
            <w:tcW w:w="1701" w:type="dxa"/>
            <w:vAlign w:val="center"/>
          </w:tcPr>
          <w:p w:rsidR="0081612E" w:rsidRPr="00B60E36" w:rsidRDefault="0081612E" w:rsidP="00936676">
            <w:pPr>
              <w:rPr>
                <w:b/>
                <w:bCs/>
                <w:sz w:val="20"/>
                <w:szCs w:val="20"/>
              </w:rPr>
            </w:pPr>
            <w:r w:rsidRPr="00B60E36">
              <w:rPr>
                <w:rFonts w:ascii="宋体" w:hAnsi="宋体" w:cs="宋体" w:hint="eastAsia"/>
                <w:kern w:val="0"/>
                <w:sz w:val="20"/>
                <w:szCs w:val="20"/>
              </w:rPr>
              <w:t>起始端具体装机地址</w:t>
            </w:r>
          </w:p>
        </w:tc>
        <w:tc>
          <w:tcPr>
            <w:tcW w:w="1701" w:type="dxa"/>
            <w:vAlign w:val="center"/>
          </w:tcPr>
          <w:p w:rsidR="0081612E" w:rsidRPr="00B60E36" w:rsidRDefault="0081612E" w:rsidP="00936676">
            <w:pPr>
              <w:rPr>
                <w:b/>
                <w:bCs/>
                <w:sz w:val="20"/>
                <w:szCs w:val="20"/>
              </w:rPr>
            </w:pPr>
            <w:r w:rsidRPr="00B60E36">
              <w:rPr>
                <w:rFonts w:ascii="宋体" w:hAnsi="宋体" w:cs="宋体" w:hint="eastAsia"/>
                <w:kern w:val="0"/>
                <w:sz w:val="20"/>
                <w:szCs w:val="20"/>
              </w:rPr>
              <w:t>终到端具体装机地址</w:t>
            </w:r>
          </w:p>
        </w:tc>
        <w:tc>
          <w:tcPr>
            <w:tcW w:w="1134" w:type="dxa"/>
            <w:vAlign w:val="center"/>
          </w:tcPr>
          <w:p w:rsidR="0081612E" w:rsidRPr="00B60E36" w:rsidRDefault="0081612E" w:rsidP="00936676">
            <w:pPr>
              <w:rPr>
                <w:b/>
                <w:bCs/>
                <w:sz w:val="20"/>
                <w:szCs w:val="20"/>
              </w:rPr>
            </w:pPr>
            <w:r w:rsidRPr="00B60E36">
              <w:rPr>
                <w:rFonts w:ascii="宋体" w:hAnsi="宋体" w:cs="宋体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134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 w:rsidRPr="00B60E36">
              <w:rPr>
                <w:rFonts w:hint="eastAsia"/>
                <w:sz w:val="20"/>
                <w:szCs w:val="20"/>
              </w:rPr>
              <w:t>下行速率（</w:t>
            </w:r>
            <w:r w:rsidRPr="00B60E36">
              <w:rPr>
                <w:rFonts w:hint="eastAsia"/>
                <w:sz w:val="20"/>
                <w:szCs w:val="20"/>
              </w:rPr>
              <w:t>bps</w:t>
            </w:r>
            <w:r w:rsidRPr="00B60E3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 w:rsidRPr="00B60E36">
              <w:rPr>
                <w:rFonts w:hint="eastAsia"/>
                <w:sz w:val="20"/>
                <w:szCs w:val="20"/>
              </w:rPr>
              <w:t>上行速率（</w:t>
            </w:r>
            <w:r w:rsidRPr="00B60E36">
              <w:rPr>
                <w:rFonts w:hint="eastAsia"/>
                <w:sz w:val="20"/>
                <w:szCs w:val="20"/>
              </w:rPr>
              <w:t>bps</w:t>
            </w:r>
            <w:r w:rsidRPr="00B60E3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 w:rsidRPr="00B60E36">
              <w:rPr>
                <w:rFonts w:hint="eastAsia"/>
                <w:sz w:val="20"/>
                <w:szCs w:val="20"/>
              </w:rPr>
              <w:t>服务期</w:t>
            </w:r>
          </w:p>
        </w:tc>
      </w:tr>
      <w:tr w:rsidR="0081612E" w:rsidTr="00936676">
        <w:tc>
          <w:tcPr>
            <w:tcW w:w="709" w:type="dxa"/>
          </w:tcPr>
          <w:p w:rsidR="0081612E" w:rsidRPr="00B60E36" w:rsidRDefault="0081612E" w:rsidP="00936676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B60E36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校园网专线</w:t>
            </w:r>
          </w:p>
        </w:tc>
        <w:tc>
          <w:tcPr>
            <w:tcW w:w="1701" w:type="dxa"/>
            <w:vAlign w:val="center"/>
          </w:tcPr>
          <w:p w:rsidR="0081612E" w:rsidRPr="00B60E36" w:rsidRDefault="0081612E" w:rsidP="00936676">
            <w:pPr>
              <w:rPr>
                <w:rFonts w:ascii="宋体" w:hAnsi="宋体"/>
                <w:sz w:val="20"/>
                <w:szCs w:val="20"/>
              </w:rPr>
            </w:pPr>
            <w:r w:rsidRPr="00B60E36">
              <w:rPr>
                <w:rFonts w:ascii="宋体" w:hAnsi="宋体" w:hint="eastAsia"/>
                <w:color w:val="282828"/>
                <w:sz w:val="20"/>
                <w:szCs w:val="20"/>
                <w:shd w:val="clear" w:color="auto" w:fill="FFFFFF"/>
              </w:rPr>
              <w:t>广州市海珠区江南大道南366号</w:t>
            </w:r>
          </w:p>
        </w:tc>
        <w:tc>
          <w:tcPr>
            <w:tcW w:w="1701" w:type="dxa"/>
            <w:vAlign w:val="center"/>
          </w:tcPr>
          <w:p w:rsidR="0081612E" w:rsidRPr="00B60E36" w:rsidRDefault="0081612E" w:rsidP="00936676">
            <w:pPr>
              <w:rPr>
                <w:rFonts w:ascii="宋体" w:hAnsi="宋体"/>
                <w:sz w:val="20"/>
                <w:szCs w:val="20"/>
              </w:rPr>
            </w:pPr>
            <w:r w:rsidRPr="008A7AD3">
              <w:rPr>
                <w:rFonts w:ascii="宋体" w:hAnsi="宋体" w:hint="eastAsia"/>
                <w:color w:val="282828"/>
                <w:sz w:val="20"/>
                <w:szCs w:val="20"/>
                <w:shd w:val="clear" w:color="auto" w:fill="FFFFFF"/>
              </w:rPr>
              <w:t>广州白云区白云大道北1838号南方医科大学</w:t>
            </w:r>
          </w:p>
        </w:tc>
        <w:tc>
          <w:tcPr>
            <w:tcW w:w="1134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MSTP</w:t>
            </w:r>
            <w:r>
              <w:rPr>
                <w:rFonts w:hint="eastAsia"/>
                <w:sz w:val="20"/>
                <w:szCs w:val="20"/>
              </w:rPr>
              <w:t>电路</w:t>
            </w:r>
          </w:p>
        </w:tc>
        <w:tc>
          <w:tcPr>
            <w:tcW w:w="1134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20M</w:t>
            </w:r>
          </w:p>
        </w:tc>
        <w:tc>
          <w:tcPr>
            <w:tcW w:w="1134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20M</w:t>
            </w:r>
          </w:p>
        </w:tc>
        <w:tc>
          <w:tcPr>
            <w:tcW w:w="850" w:type="dxa"/>
          </w:tcPr>
          <w:p w:rsidR="0081612E" w:rsidRPr="00B60E36" w:rsidRDefault="0081612E" w:rsidP="0093667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:rsidR="00D0551D" w:rsidRPr="00AF72BD" w:rsidRDefault="00D0551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hint="eastAsia"/>
          <w:sz w:val="28"/>
          <w:szCs w:val="28"/>
        </w:rPr>
        <w:t>七、服务要求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/>
        </w:rPr>
      </w:pPr>
      <w:r>
        <w:rPr>
          <w:rFonts w:ascii="宋体" w:hAnsi="宋体" w:hint="eastAsia"/>
        </w:rPr>
        <w:t>本项目为大包干项目，包含但不限于通道的测试费用、调通费、网络线路专线接入所需用到的光端设备等设备及材料（相关的通信线材）、人工费等一切费用；传输通道和设备运行维护由供应商负责。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供应商对本招标项目所提供的货物或服务未侵犯知识产权。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供应商提供的线路须</w:t>
      </w:r>
      <w:r>
        <w:rPr>
          <w:rFonts w:ascii="宋体" w:hAnsi="宋体" w:cs="宋体"/>
          <w:kern w:val="0"/>
        </w:rPr>
        <w:t>具有可靠的安全机制保证数据的保密性和完整性、安全性</w:t>
      </w:r>
      <w:r>
        <w:rPr>
          <w:rFonts w:ascii="宋体" w:hAnsi="宋体" w:cs="宋体" w:hint="eastAsia"/>
          <w:kern w:val="0"/>
        </w:rPr>
        <w:t>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Calibri" w:hAnsi="Calibri" w:cs="宋体"/>
          <w:kern w:val="0"/>
        </w:rPr>
      </w:pPr>
      <w:r>
        <w:rPr>
          <w:rFonts w:ascii="宋体" w:hAnsi="宋体" w:cs="宋体" w:hint="eastAsia"/>
          <w:kern w:val="0"/>
        </w:rPr>
        <w:t>供应商提供的线路</w:t>
      </w:r>
      <w:r>
        <w:rPr>
          <w:rFonts w:ascii="宋体" w:hAnsi="宋体" w:cs="宋体"/>
          <w:kern w:val="0"/>
        </w:rPr>
        <w:t>应有良好的可扩展性及可升级性，确保满足将来因业务发展而产生的升级扩展需求</w:t>
      </w:r>
      <w:r>
        <w:rPr>
          <w:rFonts w:ascii="宋体" w:hAnsi="宋体" w:cs="宋体" w:hint="eastAsia"/>
          <w:kern w:val="0"/>
        </w:rPr>
        <w:t>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供应商提供的互联网专线必须满足以下的技术性能指标要求：</w:t>
      </w:r>
    </w:p>
    <w:p w:rsidR="0081612E" w:rsidRDefault="0081612E" w:rsidP="0081612E">
      <w:pPr>
        <w:numPr>
          <w:ilvl w:val="0"/>
          <w:numId w:val="12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基于城域光网络；</w:t>
      </w:r>
    </w:p>
    <w:p w:rsidR="0081612E" w:rsidRDefault="0081612E" w:rsidP="0081612E">
      <w:pPr>
        <w:numPr>
          <w:ilvl w:val="0"/>
          <w:numId w:val="12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线路独占</w:t>
      </w:r>
      <w:r>
        <w:rPr>
          <w:rFonts w:ascii="宋体" w:hAnsi="宋体" w:cs="宋体"/>
          <w:kern w:val="0"/>
        </w:rPr>
        <w:t>上下行速率对称；</w:t>
      </w:r>
    </w:p>
    <w:p w:rsidR="0081612E" w:rsidRDefault="0081612E" w:rsidP="0081612E">
      <w:pPr>
        <w:numPr>
          <w:ilvl w:val="0"/>
          <w:numId w:val="12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可根据使用方需求提供以太网光口或者以太网电口连接使用方设备。</w:t>
      </w:r>
    </w:p>
    <w:p w:rsidR="0081612E" w:rsidRDefault="0081612E" w:rsidP="0081612E">
      <w:pPr>
        <w:numPr>
          <w:ilvl w:val="0"/>
          <w:numId w:val="12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不限制可用固定公网IP地址数量，标配赠送8个地址，新增数量不限制，支持IPv4、IPv6双栈；</w:t>
      </w:r>
    </w:p>
    <w:p w:rsidR="0081612E" w:rsidRPr="00B43121" w:rsidRDefault="0081612E" w:rsidP="0081612E">
      <w:pPr>
        <w:numPr>
          <w:ilvl w:val="0"/>
          <w:numId w:val="12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可叠加增值服务：国际快线（CN2快线）、专线云加速等访问国际加速服务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cs="宋体"/>
          <w:kern w:val="0"/>
        </w:rPr>
        <w:t>云堤等安全服务。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供应商提供的数字电路线路必须满足以下的技术性能指标要求：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基于二层硬通道：透明传输，带宽全程独享，客户设备配置简便。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线路基于独立物理传输专网（SDH/MSTP/ASON/OTN）实现，与互联网物理隔离。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骨干网提供1+1主备保护，50ms自动恢复。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数字电路的可用率平均不低于 99.5%，平均丢包率为≤0.1%，电路独占上下行速率恒定；传输速率按照服务内容清单要求提供。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传输时延≤40ms/1000km。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接入接口类型：GE光口或RJ45电口。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租赁期：项目通过验收后 12个月。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供应商负责通道的测试、调通工作，所需所有费用由供应商负责，传输通道和设备运行维护供应商负责。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传输电路骨干层网络采用智能光网络，骨干层网络具有自动寻路能力，当光缆意外中断时，能自动调整骨干网络的光路由拓扑结构。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租用期内，供应商需提供网络线路专线接入所需用到的光端设备等设备及材料（相关的通信线材），费用包含在本项目采购费用内。</w:t>
      </w:r>
    </w:p>
    <w:p w:rsidR="0081612E" w:rsidRDefault="0081612E" w:rsidP="0081612E">
      <w:pPr>
        <w:numPr>
          <w:ilvl w:val="0"/>
          <w:numId w:val="9"/>
        </w:numPr>
        <w:autoSpaceDE w:val="0"/>
        <w:autoSpaceDN w:val="0"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供应商提供的网络线路必须全程具备自有的管道，投标时提供相关证明文件；如部分租用或采用其它方式使用第三方的管道，要求供应商提供合法的管道出租方所出具的证明文件。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供应商在医院所在地市内拥有本地化技术服务机构，提供 7×24 小时的维护和服务，可以向医院提供稳定的网络运行质量和及时的信息反馈。并提供响应时间在 2 小时内的上门服务。在安全服务期内，如发生安全事故，需提供 4 小时内的现场紧急响应。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服务期内供应商提供线路的维护服务，不再收取额外维护费用。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供应商在医院所在地市内有稳定支持队伍，定期巡检，及时发现隐患，做好预防措施，减少线路故障。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链路中断修复时间，除因不可抗力导致链路中断以外，光纤问题应在6小时内修复（因市政工程破坏可延长至24小时）。</w:t>
      </w:r>
    </w:p>
    <w:p w:rsidR="0081612E" w:rsidRDefault="0081612E" w:rsidP="0081612E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由于供应商线路维护原因，需中断业务进行割接操作时，应提前至少48小时（重大自然灾害除外）通知医院做好相关准备工作。</w:t>
      </w:r>
    </w:p>
    <w:p w:rsidR="00D0551D" w:rsidRPr="0081612E" w:rsidRDefault="0081612E" w:rsidP="00D0551D">
      <w:pPr>
        <w:numPr>
          <w:ilvl w:val="0"/>
          <w:numId w:val="8"/>
        </w:numPr>
        <w:autoSpaceDE w:val="0"/>
        <w:autoSpaceDN w:val="0"/>
        <w:spacing w:line="360" w:lineRule="auto"/>
        <w:ind w:left="90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供应商需根据医院的要求免费提供技术咨询、优化建议以及通讯管理建议。</w:t>
      </w:r>
    </w:p>
    <w:p w:rsidR="0081612E" w:rsidRPr="005F32D4" w:rsidRDefault="00D0551D" w:rsidP="0081612E">
      <w:pPr>
        <w:pStyle w:val="1"/>
        <w:spacing w:before="0" w:after="0"/>
        <w:rPr>
          <w:sz w:val="24"/>
          <w:szCs w:val="24"/>
        </w:rPr>
      </w:pPr>
      <w:r w:rsidRPr="00AF72BD">
        <w:rPr>
          <w:rFonts w:asciiTheme="minorEastAsia" w:hAnsiTheme="minorEastAsia" w:hint="eastAsia"/>
          <w:sz w:val="28"/>
          <w:szCs w:val="28"/>
        </w:rPr>
        <w:t>八、</w:t>
      </w:r>
      <w:r w:rsidR="0081612E">
        <w:rPr>
          <w:rFonts w:hint="eastAsia"/>
          <w:sz w:val="24"/>
          <w:szCs w:val="24"/>
        </w:rPr>
        <w:t>供应商资质要求</w:t>
      </w:r>
    </w:p>
    <w:p w:rsidR="0081612E" w:rsidRDefault="0081612E" w:rsidP="0081612E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供应商符合《中华人民共和国政府采购法》第二十二条的规定。</w:t>
      </w:r>
    </w:p>
    <w:p w:rsidR="0081612E" w:rsidRDefault="0081612E" w:rsidP="0081612E">
      <w:pPr>
        <w:autoSpaceDE w:val="0"/>
        <w:autoSpaceDN w:val="0"/>
        <w:snapToGrid w:val="0"/>
        <w:spacing w:line="360" w:lineRule="auto"/>
        <w:ind w:firstLineChars="200" w:firstLine="420"/>
        <w:rPr>
          <w:rFonts w:ascii="Calibri" w:hAnsi="Calibri"/>
          <w:bCs/>
          <w:szCs w:val="21"/>
        </w:rPr>
      </w:pPr>
      <w:r>
        <w:rPr>
          <w:rFonts w:ascii="宋体" w:hAnsi="宋体" w:hint="eastAsia"/>
          <w:bCs/>
          <w:szCs w:val="21"/>
        </w:rPr>
        <w:t>1.1</w:t>
      </w:r>
      <w:r>
        <w:rPr>
          <w:rFonts w:ascii="宋体" w:hAnsi="宋体"/>
          <w:bCs/>
          <w:szCs w:val="21"/>
        </w:rPr>
        <w:t>具有独立承担民事责任的能力</w:t>
      </w:r>
      <w:r>
        <w:rPr>
          <w:rFonts w:ascii="宋体" w:hAnsi="宋体" w:hint="eastAsia"/>
          <w:bCs/>
          <w:szCs w:val="21"/>
        </w:rPr>
        <w:t>。（提供法人或者其他组织的营业执照等证明文件</w:t>
      </w:r>
      <w:r>
        <w:rPr>
          <w:rFonts w:ascii="Calibri" w:hAnsi="Calibri" w:hint="eastAsia"/>
          <w:bCs/>
          <w:szCs w:val="21"/>
        </w:rPr>
        <w:t>）</w:t>
      </w:r>
    </w:p>
    <w:p w:rsidR="0081612E" w:rsidRDefault="0081612E" w:rsidP="0081612E">
      <w:pPr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szCs w:val="21"/>
        </w:rPr>
        <w:t>1.2</w:t>
      </w:r>
      <w:r>
        <w:rPr>
          <w:rFonts w:ascii="宋体" w:hAnsi="宋体"/>
          <w:bCs/>
          <w:szCs w:val="21"/>
        </w:rPr>
        <w:t>具有良好的商业信誉和健全的财务会计</w:t>
      </w:r>
      <w:r>
        <w:rPr>
          <w:rFonts w:ascii="宋体" w:hAnsi="宋体"/>
          <w:bCs/>
          <w:color w:val="000000"/>
          <w:szCs w:val="21"/>
        </w:rPr>
        <w:t>制度；</w:t>
      </w:r>
      <w:r>
        <w:rPr>
          <w:rFonts w:ascii="宋体" w:hAnsi="宋体" w:hint="eastAsia"/>
          <w:bCs/>
          <w:color w:val="000000"/>
          <w:szCs w:val="21"/>
        </w:rPr>
        <w:t>（提供财务状况报告）</w:t>
      </w:r>
    </w:p>
    <w:p w:rsidR="0081612E" w:rsidRDefault="0081612E" w:rsidP="0081612E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1.3</w:t>
      </w:r>
      <w:r>
        <w:rPr>
          <w:rFonts w:ascii="宋体" w:hAnsi="宋体"/>
          <w:bCs/>
          <w:szCs w:val="21"/>
        </w:rPr>
        <w:t>具有履行合同所必需的设备和专业技术能力；</w:t>
      </w:r>
      <w:r>
        <w:rPr>
          <w:rFonts w:ascii="宋体" w:hAnsi="宋体" w:hint="eastAsia"/>
          <w:bCs/>
          <w:szCs w:val="21"/>
        </w:rPr>
        <w:t>（提供该证明材料）</w:t>
      </w:r>
    </w:p>
    <w:p w:rsidR="0081612E" w:rsidRDefault="0081612E" w:rsidP="0081612E">
      <w:pPr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1.4</w:t>
      </w:r>
      <w:r>
        <w:rPr>
          <w:rFonts w:ascii="宋体" w:hAnsi="宋体"/>
          <w:bCs/>
          <w:color w:val="000000"/>
          <w:szCs w:val="21"/>
        </w:rPr>
        <w:t>有依法缴纳税收和社会保障资金的良好记录；</w:t>
      </w:r>
      <w:r>
        <w:rPr>
          <w:rFonts w:ascii="宋体" w:hAnsi="宋体" w:hint="eastAsia"/>
          <w:bCs/>
          <w:color w:val="000000"/>
          <w:szCs w:val="21"/>
        </w:rPr>
        <w:t>（提供该相关材料）</w:t>
      </w:r>
    </w:p>
    <w:p w:rsidR="0081612E" w:rsidRDefault="0081612E" w:rsidP="0081612E">
      <w:pPr>
        <w:autoSpaceDE w:val="0"/>
        <w:autoSpaceDN w:val="0"/>
        <w:snapToGrid w:val="0"/>
        <w:spacing w:line="360" w:lineRule="auto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lastRenderedPageBreak/>
        <w:t>1.5</w:t>
      </w:r>
      <w:r>
        <w:rPr>
          <w:rFonts w:ascii="宋体" w:hAnsi="宋体"/>
          <w:bCs/>
          <w:color w:val="000000"/>
          <w:szCs w:val="21"/>
        </w:rPr>
        <w:t>参加政府采购活动前三年内，在经营活动中没有重大违法记录；</w:t>
      </w:r>
      <w:r>
        <w:rPr>
          <w:rFonts w:ascii="宋体" w:hAnsi="宋体" w:hint="eastAsia"/>
          <w:bCs/>
          <w:color w:val="000000"/>
          <w:szCs w:val="21"/>
        </w:rPr>
        <w:t>（提供书面声明）</w:t>
      </w:r>
    </w:p>
    <w:p w:rsidR="0081612E" w:rsidRDefault="0081612E" w:rsidP="0081612E">
      <w:pPr>
        <w:autoSpaceDE w:val="0"/>
        <w:autoSpaceDN w:val="0"/>
        <w:snapToGrid w:val="0"/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1.6</w:t>
      </w:r>
      <w:r>
        <w:rPr>
          <w:rFonts w:ascii="宋体" w:hAnsi="宋体"/>
          <w:bCs/>
          <w:szCs w:val="21"/>
        </w:rPr>
        <w:t>法律、行政法规规定的其他条件。</w:t>
      </w:r>
    </w:p>
    <w:p w:rsidR="0081612E" w:rsidRDefault="0081612E" w:rsidP="0081612E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="Calibri" w:hAnsi="宋体" w:cs="宋体"/>
          <w:bCs/>
          <w:kern w:val="0"/>
          <w:szCs w:val="21"/>
        </w:rPr>
      </w:pPr>
      <w:r>
        <w:rPr>
          <w:rFonts w:ascii="宋体" w:hAnsi="宋体" w:hint="eastAsia"/>
          <w:szCs w:val="21"/>
          <w:lang w:val="zh-CN"/>
        </w:rPr>
        <w:t>分公司投标的，须获得具有法人资格的总公司授权，提供总公司营业执照副本复印件及授权文件复印件，并加盖供应商公章；</w:t>
      </w:r>
    </w:p>
    <w:p w:rsidR="0081612E" w:rsidRPr="00311999" w:rsidRDefault="0081612E" w:rsidP="0081612E">
      <w:pPr>
        <w:numPr>
          <w:ilvl w:val="0"/>
          <w:numId w:val="10"/>
        </w:numPr>
        <w:autoSpaceDE w:val="0"/>
        <w:autoSpaceDN w:val="0"/>
        <w:snapToGrid w:val="0"/>
        <w:spacing w:line="360" w:lineRule="auto"/>
        <w:rPr>
          <w:rFonts w:ascii="Calibri" w:hAnsi="宋体" w:cs="宋体"/>
          <w:bCs/>
          <w:kern w:val="0"/>
          <w:szCs w:val="21"/>
        </w:rPr>
      </w:pPr>
      <w:r>
        <w:rPr>
          <w:rFonts w:ascii="Calibri" w:hAnsi="宋体" w:cs="宋体" w:hint="eastAsia"/>
          <w:bCs/>
          <w:kern w:val="0"/>
          <w:szCs w:val="21"/>
        </w:rPr>
        <w:t>本项目不允许联合体投标。</w:t>
      </w:r>
    </w:p>
    <w:p w:rsidR="00967020" w:rsidRPr="00AF72BD" w:rsidRDefault="00D0551D" w:rsidP="0081612E">
      <w:pPr>
        <w:pStyle w:val="1"/>
        <w:spacing w:before="0" w:after="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AF72BD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AF72BD" w:rsidRDefault="00D0551D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十</w:t>
      </w:r>
      <w:r w:rsidR="00FA24CD" w:rsidRPr="00AF72BD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AF72BD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AF72BD" w:rsidRDefault="00FA24CD">
      <w:pPr>
        <w:rPr>
          <w:rFonts w:asciiTheme="minorEastAsia" w:hAnsiTheme="minorEastAsia"/>
          <w:sz w:val="28"/>
          <w:szCs w:val="28"/>
        </w:rPr>
      </w:pP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AF72B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84" w:rsidRDefault="00430884" w:rsidP="00A258B0">
      <w:r>
        <w:separator/>
      </w:r>
    </w:p>
  </w:endnote>
  <w:endnote w:type="continuationSeparator" w:id="1">
    <w:p w:rsidR="00430884" w:rsidRDefault="00430884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84" w:rsidRDefault="00430884" w:rsidP="00A258B0">
      <w:r>
        <w:separator/>
      </w:r>
    </w:p>
  </w:footnote>
  <w:footnote w:type="continuationSeparator" w:id="1">
    <w:p w:rsidR="00430884" w:rsidRDefault="00430884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C7BEE"/>
    <w:rsid w:val="00104E98"/>
    <w:rsid w:val="001071D5"/>
    <w:rsid w:val="00140E19"/>
    <w:rsid w:val="001D2D28"/>
    <w:rsid w:val="0032691F"/>
    <w:rsid w:val="0038676B"/>
    <w:rsid w:val="004242C9"/>
    <w:rsid w:val="00430884"/>
    <w:rsid w:val="00611AF2"/>
    <w:rsid w:val="00651DF2"/>
    <w:rsid w:val="00684519"/>
    <w:rsid w:val="007C43DD"/>
    <w:rsid w:val="00816105"/>
    <w:rsid w:val="0081612E"/>
    <w:rsid w:val="0095537C"/>
    <w:rsid w:val="00967020"/>
    <w:rsid w:val="009E50A5"/>
    <w:rsid w:val="00A14C4B"/>
    <w:rsid w:val="00A258B0"/>
    <w:rsid w:val="00AF72BD"/>
    <w:rsid w:val="00D0551D"/>
    <w:rsid w:val="00D34D0A"/>
    <w:rsid w:val="00E03D6D"/>
    <w:rsid w:val="00E26E0F"/>
    <w:rsid w:val="00E306CB"/>
    <w:rsid w:val="00E45983"/>
    <w:rsid w:val="00E84340"/>
    <w:rsid w:val="00ED032C"/>
    <w:rsid w:val="00F85BCE"/>
    <w:rsid w:val="00FA24CD"/>
    <w:rsid w:val="00FC2159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3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20</cp:revision>
  <dcterms:created xsi:type="dcterms:W3CDTF">2022-05-07T03:03:00Z</dcterms:created>
  <dcterms:modified xsi:type="dcterms:W3CDTF">2023-03-14T06:51:00Z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