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8"/>
        <w:jc w:val="center"/>
        <w:outlineLvl w:val="0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cs="宋体" w:asciiTheme="majorEastAsia" w:hAnsiTheme="majorEastAsia" w:eastAsiaTheme="majorEastAsia"/>
          <w:b/>
          <w:spacing w:val="-1"/>
          <w:sz w:val="32"/>
          <w:szCs w:val="32"/>
        </w:rPr>
        <w:t>202</w:t>
      </w:r>
      <w:r>
        <w:rPr>
          <w:rFonts w:hint="eastAsia" w:cs="宋体" w:asciiTheme="majorEastAsia" w:hAnsiTheme="majorEastAsia" w:eastAsiaTheme="majorEastAsia"/>
          <w:b/>
          <w:spacing w:val="-1"/>
          <w:sz w:val="32"/>
          <w:szCs w:val="32"/>
        </w:rPr>
        <w:t>2</w:t>
      </w:r>
      <w:r>
        <w:rPr>
          <w:rFonts w:cs="宋体" w:asciiTheme="majorEastAsia" w:hAnsiTheme="majorEastAsia" w:eastAsiaTheme="majorEastAsia"/>
          <w:b/>
          <w:spacing w:val="-1"/>
          <w:sz w:val="32"/>
          <w:szCs w:val="32"/>
        </w:rPr>
        <w:t>年</w:t>
      </w:r>
      <w:r>
        <w:rPr>
          <w:rFonts w:hint="eastAsia" w:cs="宋体" w:asciiTheme="majorEastAsia" w:hAnsiTheme="majorEastAsia" w:eastAsiaTheme="majorEastAsia"/>
          <w:b/>
          <w:spacing w:val="-1"/>
          <w:sz w:val="32"/>
          <w:szCs w:val="32"/>
          <w:lang w:val="en-US" w:eastAsia="zh-CN"/>
        </w:rPr>
        <w:t>省级医学继续教育项目（2022410801009)“难治性根尖周病的诊疗策略”会议</w:t>
      </w:r>
      <w:r>
        <w:rPr>
          <w:rFonts w:cs="宋体" w:asciiTheme="majorEastAsia" w:hAnsiTheme="majorEastAsia" w:eastAsiaTheme="majorEastAsia"/>
          <w:b/>
          <w:sz w:val="32"/>
          <w:szCs w:val="32"/>
        </w:rPr>
        <w:t>通知</w:t>
      </w:r>
    </w:p>
    <w:p>
      <w:pPr>
        <w:tabs>
          <w:tab w:val="left" w:pos="7005"/>
        </w:tabs>
        <w:spacing w:line="291" w:lineRule="auto"/>
        <w:rPr>
          <w:rFonts w:ascii="宋体"/>
        </w:rPr>
      </w:pPr>
      <w:r>
        <w:rPr>
          <w:rFonts w:ascii="宋体"/>
        </w:rPr>
        <w:tab/>
      </w:r>
    </w:p>
    <w:p>
      <w:pPr>
        <w:snapToGrid/>
        <w:spacing w:line="360" w:lineRule="auto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sz w:val="24"/>
          <w:szCs w:val="24"/>
        </w:rPr>
        <w:t>尊敬的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各位</w:t>
      </w:r>
      <w:r>
        <w:rPr>
          <w:rFonts w:cs="宋体" w:asciiTheme="minorEastAsia" w:hAnsiTheme="minorEastAsia"/>
          <w:sz w:val="24"/>
          <w:szCs w:val="24"/>
        </w:rPr>
        <w:t>口腔同仁：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 为深化和推广口腔医生冠根一体化治疗理念与方法，提高牙体牙髓病学专业水平，尽力保留患者的每一颗天然牙，南方医科大学口腔医院兹定于2022年1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1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月2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2-24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日举办省级继续教育项目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：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《难治性根尖周病的诊疗策略》。课程主题为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牙体牙髓病的冠根一体化微创治疗新进展</w:t>
      </w: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”</w:t>
      </w: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课程内容包括理论课与实操培训两个部分。理论授课涵盖了活髓保存、微创开髓、根尖手术、自体牙再植与移植术以及儿童和成人的冠根一体化治疗理念；实操培训内容为显微根管治疗操作技巧及牙髓治疗后冠部修复要点。       </w:t>
      </w:r>
    </w:p>
    <w:p>
      <w:pPr>
        <w:spacing w:line="360" w:lineRule="auto"/>
        <w:ind w:firstLine="480" w:firstLineChars="200"/>
        <w:jc w:val="both"/>
        <w:rPr>
          <w:rFonts w:cs="宋体" w:asciiTheme="minorEastAsia" w:hAnsiTheme="minorEastAsia"/>
          <w:sz w:val="24"/>
          <w:szCs w:val="24"/>
          <w:highlight w:val="none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t>诚挚邀请，期待您的到来。  </w:t>
      </w:r>
    </w:p>
    <w:p>
      <w:pPr>
        <w:numPr>
          <w:ilvl w:val="0"/>
          <w:numId w:val="1"/>
        </w:num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</w:rPr>
        <w:t>培训时间：2022年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cs="宋体" w:asciiTheme="minorEastAsia" w:hAnsiTheme="minorEastAsia"/>
          <w:sz w:val="24"/>
          <w:szCs w:val="24"/>
        </w:rPr>
        <w:t>日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-24日</w:t>
      </w:r>
    </w:p>
    <w:p>
      <w:pPr>
        <w:numPr>
          <w:ilvl w:val="0"/>
          <w:numId w:val="1"/>
        </w:numPr>
        <w:snapToGrid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</w:rPr>
        <w:t>培训地点：广州番禺大道希尔顿欢朋酒店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</w:rPr>
        <w:t>号</w:t>
      </w:r>
      <w:r>
        <w:rPr>
          <w:rFonts w:cs="宋体" w:asciiTheme="minorEastAsia" w:hAnsiTheme="minorEastAsia"/>
          <w:sz w:val="24"/>
          <w:szCs w:val="24"/>
        </w:rPr>
        <w:t>会议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室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授课专家：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黄定明，韦曦，徐学良，孙书昱，麻丹丹，邱小玲，柴巧学，徐帅妹，刘忠俊，赵玉龙，陈璇，杨晓庭，何攀龙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学分授予：省级继续医学教育I类学分3.5分（仅参加理论课程无学分授予）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both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</w:rPr>
        <w:t>课程安排：</w:t>
      </w:r>
    </w:p>
    <w:tbl>
      <w:tblPr>
        <w:tblStyle w:val="5"/>
        <w:tblpPr w:leftFromText="180" w:rightFromText="180" w:vertAnchor="text" w:horzAnchor="page" w:tblpX="1801" w:tblpY="460"/>
        <w:tblOverlap w:val="never"/>
        <w:tblW w:w="8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62"/>
        <w:gridCol w:w="4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授课专家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09:00-10:00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自体牙再植与移植术的临床应用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10:00-11:00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韦  曦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活髓保存治疗的临床进展及病例解析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徐学良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冠根一体化治疗的理念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孙书昱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微创开髓的理论与实践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15:45-17:00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麻丹丹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49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显微镜下根管口探查及根管预备要点知多少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授课专家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09:00-10:00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数字化技术在显微根尖手术中的应用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10:00-11:00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见微知著，睹始知终——儿童期冠根一体化治疗及咬合诱导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徐帅妹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显微根尖手术的临床考量与决策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根管治疗关键问题的临床决策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15:45-17:00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赵玉龙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牙髓治疗后冠部修复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授课专家</w:t>
            </w:r>
          </w:p>
        </w:tc>
        <w:tc>
          <w:tcPr>
            <w:tcW w:w="49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09:00-09:30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何攀龙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显微镜下开髓与髓腔初预备示教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09:30-10:00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显微镜下根管预备与根管充填示教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显微镜下实践操作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显微镜下嵌体预备示教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显微镜下全冠预备示教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显微镜下实践操作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napToGrid/>
        <w:spacing w:line="360" w:lineRule="auto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snapToGrid/>
        <w:spacing w:line="360" w:lineRule="auto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</w:p>
    <w:p>
      <w:pPr>
        <w:snapToGrid/>
        <w:spacing w:line="360" w:lineRule="auto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六、</w:t>
      </w:r>
      <w:r>
        <w:rPr>
          <w:rFonts w:cs="宋体" w:asciiTheme="minorEastAsia" w:hAnsiTheme="minorEastAsia"/>
          <w:sz w:val="24"/>
          <w:szCs w:val="24"/>
        </w:rPr>
        <w:t>报名事宜：</w:t>
      </w:r>
    </w:p>
    <w:p>
      <w:pPr>
        <w:snapToGrid/>
        <w:spacing w:line="360" w:lineRule="auto"/>
        <w:ind w:left="424" w:leftChars="202" w:firstLine="424" w:firstLineChars="177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.</w:t>
      </w:r>
      <w:r>
        <w:rPr>
          <w:rFonts w:cs="宋体" w:asciiTheme="minorEastAsia" w:hAnsiTheme="minorEastAsia"/>
          <w:sz w:val="24"/>
          <w:szCs w:val="24"/>
        </w:rPr>
        <w:t>报名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联系</w:t>
      </w:r>
      <w:r>
        <w:rPr>
          <w:rFonts w:cs="宋体" w:asciiTheme="minorEastAsia" w:hAnsiTheme="minorEastAsia"/>
          <w:sz w:val="24"/>
          <w:szCs w:val="24"/>
        </w:rPr>
        <w:t>方式：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陈老师 13751771283</w:t>
      </w:r>
    </w:p>
    <w:p>
      <w:pPr>
        <w:snapToGrid/>
        <w:spacing w:line="360" w:lineRule="auto"/>
        <w:ind w:left="424" w:leftChars="202" w:firstLine="424" w:firstLineChars="177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陈老师13570333991</w:t>
      </w:r>
    </w:p>
    <w:p>
      <w:pPr>
        <w:numPr>
          <w:ilvl w:val="0"/>
          <w:numId w:val="0"/>
        </w:numPr>
        <w:snapToGrid/>
        <w:spacing w:line="360" w:lineRule="auto"/>
        <w:ind w:left="0" w:leftChars="0" w:firstLine="840" w:firstLineChars="35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cs="宋体" w:asciiTheme="minorEastAsia" w:hAnsiTheme="minorEastAsia"/>
          <w:sz w:val="24"/>
          <w:szCs w:val="24"/>
        </w:rPr>
        <w:t>报名费用：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理论课：500元/人</w:t>
      </w:r>
    </w:p>
    <w:p>
      <w:pPr>
        <w:numPr>
          <w:ilvl w:val="0"/>
          <w:numId w:val="0"/>
        </w:numPr>
        <w:snapToGrid/>
        <w:spacing w:line="360" w:lineRule="auto"/>
        <w:ind w:left="0" w:leftChars="0" w:firstLine="2318" w:firstLineChars="966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理论+操作班（限30人）：</w:t>
      </w:r>
      <w:r>
        <w:rPr>
          <w:rFonts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cs="宋体" w:asciiTheme="minorEastAsia" w:hAnsiTheme="minorEastAsia"/>
          <w:sz w:val="24"/>
          <w:szCs w:val="24"/>
        </w:rPr>
        <w:t>00元/人</w:t>
      </w:r>
    </w:p>
    <w:p>
      <w:pPr>
        <w:numPr>
          <w:ilvl w:val="0"/>
          <w:numId w:val="0"/>
        </w:numPr>
        <w:spacing w:line="360" w:lineRule="auto"/>
        <w:ind w:left="866" w:leftChars="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3.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参加培训班时需根据疫情防控要求做好相关准备。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7440" w:hanging="7440" w:hangingChars="31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                                                                   南方医科大学口腔医院                                                                  （广东省口腔医院）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                                                                  2022年10月18日</w:t>
      </w:r>
    </w:p>
    <w:p>
      <w:pPr>
        <w:rPr>
          <w:rFonts w:asciiTheme="minorEastAsia" w:hAnsiTheme="minorEastAsia"/>
          <w:sz w:val="2"/>
        </w:rPr>
      </w:pPr>
    </w:p>
    <w:p>
      <w:pPr>
        <w:rPr>
          <w:rFonts w:asciiTheme="minorEastAsia" w:hAnsiTheme="minorEastAsia"/>
          <w:sz w:val="2"/>
        </w:rPr>
      </w:pPr>
    </w:p>
    <w:p>
      <w:pPr>
        <w:rPr>
          <w:rFonts w:asciiTheme="minorEastAsia" w:hAnsiTheme="minorEastAsia"/>
          <w:sz w:val="2"/>
        </w:rPr>
      </w:pPr>
    </w:p>
    <w:p>
      <w:pPr>
        <w:rPr>
          <w:rFonts w:asciiTheme="minorEastAsia" w:hAnsiTheme="minorEastAsia"/>
          <w:sz w:val="2"/>
        </w:rPr>
      </w:pPr>
    </w:p>
    <w:p>
      <w:pPr>
        <w:tabs>
          <w:tab w:val="left" w:pos="6690"/>
        </w:tabs>
        <w:rPr>
          <w:rFonts w:asciiTheme="minorEastAsia" w:hAnsiTheme="minorEastAsia"/>
          <w:sz w:val="2"/>
        </w:rPr>
      </w:pPr>
      <w:r>
        <w:rPr>
          <w:rFonts w:asciiTheme="minorEastAsia" w:hAnsiTheme="minorEastAsia"/>
          <w:sz w:val="2"/>
        </w:rPr>
        <w:tab/>
      </w:r>
    </w:p>
    <w:sectPr>
      <w:headerReference r:id="rId3" w:type="even"/>
      <w:type w:val="continuous"/>
      <w:pgSz w:w="11910" w:h="16840"/>
      <w:pgMar w:top="1247" w:right="1137" w:bottom="964" w:left="1134" w:header="0" w:footer="0" w:gutter="113"/>
      <w:cols w:equalWidth="0" w:num="1">
        <w:col w:w="95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8BA66"/>
    <w:multiLevelType w:val="singleLevel"/>
    <w:tmpl w:val="9238BA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2VjOGRiZDgzNDBiNGYwYTk3OWFjNmY5ZjQ4OWEifQ=="/>
  </w:docVars>
  <w:rsids>
    <w:rsidRoot w:val="00172A27"/>
    <w:rsid w:val="000550AE"/>
    <w:rsid w:val="000C2D03"/>
    <w:rsid w:val="000E1814"/>
    <w:rsid w:val="001B4D2A"/>
    <w:rsid w:val="002C5B6B"/>
    <w:rsid w:val="002F4C7F"/>
    <w:rsid w:val="002F55D8"/>
    <w:rsid w:val="00320406"/>
    <w:rsid w:val="0034559A"/>
    <w:rsid w:val="003515AC"/>
    <w:rsid w:val="003672A1"/>
    <w:rsid w:val="003D294D"/>
    <w:rsid w:val="004142F1"/>
    <w:rsid w:val="004D2131"/>
    <w:rsid w:val="004E377E"/>
    <w:rsid w:val="004F034C"/>
    <w:rsid w:val="005245B9"/>
    <w:rsid w:val="00553004"/>
    <w:rsid w:val="005768D3"/>
    <w:rsid w:val="00594D3D"/>
    <w:rsid w:val="005F15A7"/>
    <w:rsid w:val="005F4DAE"/>
    <w:rsid w:val="00674105"/>
    <w:rsid w:val="006B3373"/>
    <w:rsid w:val="00764B81"/>
    <w:rsid w:val="00767D21"/>
    <w:rsid w:val="00771A3D"/>
    <w:rsid w:val="007F5789"/>
    <w:rsid w:val="00803334"/>
    <w:rsid w:val="00813724"/>
    <w:rsid w:val="0085236C"/>
    <w:rsid w:val="009B64B9"/>
    <w:rsid w:val="009E308F"/>
    <w:rsid w:val="009F37EA"/>
    <w:rsid w:val="00A434D1"/>
    <w:rsid w:val="00AB018B"/>
    <w:rsid w:val="00AD5D87"/>
    <w:rsid w:val="00AF31A7"/>
    <w:rsid w:val="00B11A66"/>
    <w:rsid w:val="00BC01E6"/>
    <w:rsid w:val="00BD58DF"/>
    <w:rsid w:val="00C65E4F"/>
    <w:rsid w:val="00D009F4"/>
    <w:rsid w:val="00D05C2B"/>
    <w:rsid w:val="00D21F40"/>
    <w:rsid w:val="00DC2CF9"/>
    <w:rsid w:val="00DC51D4"/>
    <w:rsid w:val="00DE638F"/>
    <w:rsid w:val="00E1100A"/>
    <w:rsid w:val="00E73F9F"/>
    <w:rsid w:val="00EB277A"/>
    <w:rsid w:val="00ED1429"/>
    <w:rsid w:val="00EF4DF1"/>
    <w:rsid w:val="00F04EC2"/>
    <w:rsid w:val="00F60063"/>
    <w:rsid w:val="00F818BA"/>
    <w:rsid w:val="00FE217D"/>
    <w:rsid w:val="05D430E7"/>
    <w:rsid w:val="0FC91CB4"/>
    <w:rsid w:val="16751AA3"/>
    <w:rsid w:val="1B115A17"/>
    <w:rsid w:val="1BDA46EC"/>
    <w:rsid w:val="244C4568"/>
    <w:rsid w:val="262477ED"/>
    <w:rsid w:val="27EC3C00"/>
    <w:rsid w:val="2B123309"/>
    <w:rsid w:val="2D067C4C"/>
    <w:rsid w:val="2DB8399D"/>
    <w:rsid w:val="2DBF063F"/>
    <w:rsid w:val="2FFF253A"/>
    <w:rsid w:val="31331579"/>
    <w:rsid w:val="31D069F6"/>
    <w:rsid w:val="38AA0F32"/>
    <w:rsid w:val="3ABE6C8C"/>
    <w:rsid w:val="40BE09D2"/>
    <w:rsid w:val="484D05D3"/>
    <w:rsid w:val="496A4656"/>
    <w:rsid w:val="4AA03353"/>
    <w:rsid w:val="4D2A6D7B"/>
    <w:rsid w:val="4D450C37"/>
    <w:rsid w:val="4E165AE9"/>
    <w:rsid w:val="4F376686"/>
    <w:rsid w:val="5F5E109E"/>
    <w:rsid w:val="690818DB"/>
    <w:rsid w:val="6C494607"/>
    <w:rsid w:val="744D3B80"/>
    <w:rsid w:val="74735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CBA-4400-41A4-96C4-008560612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853</Words>
  <Characters>1108</Characters>
  <Lines>9</Lines>
  <Paragraphs>2</Paragraphs>
  <TotalTime>19</TotalTime>
  <ScaleCrop>false</ScaleCrop>
  <LinksUpToDate>false</LinksUpToDate>
  <CharactersWithSpaces>1437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2021-03-29T16:02:00Z</dcterms:created>
  <dc:creator>Administrator</dc:creator>
  <cp:lastModifiedBy>启程</cp:lastModifiedBy>
  <dcterms:modified xsi:type="dcterms:W3CDTF">2022-10-21T08:31:05Z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2022-02-15T10:20:03Z</vt:filetime>
  </property>
  <property fmtid="{D5CDD505-2E9C-101B-9397-08002B2CF9AE}" pid="4" name="KSOProductBuildVer">
    <vt:lpwstr>2052-11.1.0.12598</vt:lpwstr>
  </property>
  <property fmtid="{D5CDD505-2E9C-101B-9397-08002B2CF9AE}" pid="5" name="ICV">
    <vt:lpwstr>ED2D415035CB4C94A2A037895AE99CE8</vt:lpwstr>
  </property>
</Properties>
</file>