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0" w:rsidRDefault="00E45983" w:rsidP="005024FB">
      <w:pPr>
        <w:pStyle w:val="1"/>
        <w:jc w:val="center"/>
      </w:pPr>
      <w:r>
        <w:rPr>
          <w:rFonts w:hint="eastAsia"/>
        </w:rPr>
        <w:t>南方医科大学口腔医院（广东省口腔医院）</w:t>
      </w:r>
      <w:r w:rsidR="00706F40">
        <w:rPr>
          <w:rFonts w:hint="eastAsia"/>
        </w:rPr>
        <w:t>实验室设备</w:t>
      </w:r>
      <w:r w:rsidR="00E90984">
        <w:rPr>
          <w:rFonts w:hint="eastAsia"/>
        </w:rPr>
        <w:t>（第</w:t>
      </w:r>
      <w:r w:rsidR="00A70EC0">
        <w:rPr>
          <w:rFonts w:hint="eastAsia"/>
        </w:rPr>
        <w:t>三</w:t>
      </w:r>
      <w:r w:rsidR="00E90984">
        <w:rPr>
          <w:rFonts w:hint="eastAsia"/>
        </w:rPr>
        <w:t>批）</w:t>
      </w:r>
      <w:r>
        <w:t>项目市场调研</w:t>
      </w:r>
      <w:r>
        <w:rPr>
          <w:rFonts w:hint="eastAsia"/>
        </w:rPr>
        <w:t>函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 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一批</w:t>
      </w:r>
      <w:r w:rsidR="00153817">
        <w:rPr>
          <w:rFonts w:asciiTheme="minorEastAsia" w:hAnsiTheme="minorEastAsia" w:hint="eastAsia"/>
          <w:sz w:val="28"/>
          <w:szCs w:val="28"/>
          <w:shd w:val="clear" w:color="auto" w:fill="FFFFFF"/>
        </w:rPr>
        <w:t>关于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实验室设备</w:t>
      </w:r>
      <w:r w:rsidR="002E3781" w:rsidRPr="002E3781">
        <w:rPr>
          <w:rFonts w:asciiTheme="minorEastAsia" w:hAnsiTheme="minorEastAsia" w:hint="eastAsia"/>
          <w:sz w:val="28"/>
          <w:szCs w:val="28"/>
          <w:shd w:val="clear" w:color="auto" w:fill="FFFFFF"/>
        </w:rPr>
        <w:t>（第</w:t>
      </w:r>
      <w:r w:rsidR="00A70EC0">
        <w:rPr>
          <w:rFonts w:asciiTheme="minorEastAsia" w:hAnsiTheme="minorEastAsia" w:hint="eastAsia"/>
          <w:sz w:val="28"/>
          <w:szCs w:val="28"/>
          <w:shd w:val="clear" w:color="auto" w:fill="FFFFFF"/>
        </w:rPr>
        <w:t>三</w:t>
      </w:r>
      <w:r w:rsidR="002E3781" w:rsidRPr="002E3781">
        <w:rPr>
          <w:rFonts w:asciiTheme="minorEastAsia" w:hAnsiTheme="minorEastAsia" w:hint="eastAsia"/>
          <w:sz w:val="28"/>
          <w:szCs w:val="28"/>
          <w:shd w:val="clear" w:color="auto" w:fill="FFFFFF"/>
        </w:rPr>
        <w:t>批）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的市场动态情况，现邀请有意向的设备生产企业或经营企业根据</w:t>
      </w:r>
      <w:r w:rsidR="000E3DAB" w:rsidRPr="000E3DAB">
        <w:rPr>
          <w:rFonts w:asciiTheme="minorEastAsia" w:hAnsiTheme="minorEastAsia" w:hint="eastAsia"/>
          <w:sz w:val="28"/>
          <w:szCs w:val="28"/>
          <w:shd w:val="clear" w:color="auto" w:fill="FFFFFF"/>
        </w:rPr>
        <w:t>广东省口腔医学研究院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的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要求推荐产品。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参与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办法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如下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一、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FD7DAF" w:rsidRPr="00FD7DAF">
        <w:rPr>
          <w:rFonts w:asciiTheme="minorEastAsia" w:hAnsiTheme="minorEastAsia" w:cs="Times New Roman"/>
          <w:sz w:val="28"/>
          <w:szCs w:val="28"/>
          <w:shd w:val="clear" w:color="auto" w:fill="FFFFFF"/>
        </w:rPr>
        <w:t>NYKQ-JXSYDY00</w:t>
      </w:r>
      <w:r w:rsidR="00A70EC0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6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Style w:val="a6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公告之日起</w:t>
      </w:r>
      <w:r w:rsidR="00EA0E7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个工作日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内。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请</w:t>
      </w:r>
      <w:r w:rsidR="00A14C4B">
        <w:rPr>
          <w:rFonts w:asciiTheme="minorEastAsia" w:hAnsiTheme="minorEastAsia" w:hint="eastAsia"/>
          <w:sz w:val="28"/>
          <w:szCs w:val="28"/>
          <w:shd w:val="clear" w:color="auto" w:fill="FFFFFF"/>
        </w:rPr>
        <w:t>意向参与市场调研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公司于截止时间前按报名材料要求提交电子扫描件（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PDF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文件，且小于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20MB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），打包压缩（文件夹命名规则：项目</w:t>
      </w:r>
      <w:r w:rsidR="00863620">
        <w:rPr>
          <w:rFonts w:asciiTheme="minorEastAsia" w:hAnsiTheme="minorEastAsia" w:hint="eastAsia"/>
          <w:sz w:val="28"/>
          <w:szCs w:val="28"/>
          <w:shd w:val="clear" w:color="auto" w:fill="FFFFFF"/>
        </w:rPr>
        <w:t>序号及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名称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品牌型号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供应商名称）发至邮箱（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nykqsbk</w:t>
      </w:r>
      <w:r w:rsidR="009E50A5">
        <w:rPr>
          <w:rFonts w:asciiTheme="minorEastAsia" w:hAnsiTheme="minorEastAsia" w:cs="Times New Roman"/>
          <w:sz w:val="28"/>
          <w:szCs w:val="28"/>
          <w:shd w:val="clear" w:color="auto" w:fill="FFFFFF"/>
        </w:rPr>
        <w:t>@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126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.com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），并与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>设备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科工作人员电话（</w:t>
      </w:r>
      <w:r w:rsidR="00E23200">
        <w:rPr>
          <w:rFonts w:asciiTheme="minorEastAsia" w:hAnsiTheme="minorEastAsia" w:hint="eastAsia"/>
          <w:sz w:val="28"/>
          <w:szCs w:val="28"/>
          <w:shd w:val="clear" w:color="auto" w:fill="FFFFFF"/>
        </w:rPr>
        <w:t>何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老师 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020-84233792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）确认发送成功，暂无需提供纸质资料。</w:t>
      </w:r>
    </w:p>
    <w:p w:rsidR="009E50A5" w:rsidRPr="009E50A5" w:rsidRDefault="009E50A5" w:rsidP="009E50A5">
      <w:pPr>
        <w:rPr>
          <w:rStyle w:val="a6"/>
          <w:sz w:val="28"/>
          <w:szCs w:val="28"/>
        </w:rPr>
      </w:pPr>
      <w:r w:rsidRPr="009E50A5">
        <w:rPr>
          <w:sz w:val="28"/>
          <w:szCs w:val="28"/>
        </w:rPr>
        <w:t>四、</w:t>
      </w:r>
      <w:r w:rsidRPr="009E50A5">
        <w:rPr>
          <w:rStyle w:val="a6"/>
          <w:rFonts w:hint="eastAsia"/>
          <w:sz w:val="28"/>
          <w:szCs w:val="28"/>
        </w:rPr>
        <w:t>项目内容：</w:t>
      </w:r>
    </w:p>
    <w:tbl>
      <w:tblPr>
        <w:tblStyle w:val="a8"/>
        <w:tblW w:w="0" w:type="auto"/>
        <w:tblLook w:val="04A0"/>
      </w:tblPr>
      <w:tblGrid>
        <w:gridCol w:w="817"/>
        <w:gridCol w:w="2268"/>
        <w:gridCol w:w="851"/>
        <w:gridCol w:w="4586"/>
      </w:tblGrid>
      <w:tr w:rsidR="002C7B8C" w:rsidRPr="002C7B8C" w:rsidTr="002C7B8C">
        <w:trPr>
          <w:trHeight w:val="354"/>
        </w:trPr>
        <w:tc>
          <w:tcPr>
            <w:tcW w:w="817" w:type="dxa"/>
            <w:noWrap/>
            <w:hideMark/>
          </w:tcPr>
          <w:p w:rsidR="002C7B8C" w:rsidRPr="002C7B8C" w:rsidRDefault="002C7B8C" w:rsidP="002C7B8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hideMark/>
          </w:tcPr>
          <w:p w:rsidR="002C7B8C" w:rsidRPr="002C7B8C" w:rsidRDefault="002C7B8C" w:rsidP="002C7B8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仪器名称</w:t>
            </w:r>
          </w:p>
        </w:tc>
        <w:tc>
          <w:tcPr>
            <w:tcW w:w="851" w:type="dxa"/>
            <w:hideMark/>
          </w:tcPr>
          <w:p w:rsidR="002C7B8C" w:rsidRPr="002C7B8C" w:rsidRDefault="002C7B8C" w:rsidP="002C7B8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586" w:type="dxa"/>
            <w:hideMark/>
          </w:tcPr>
          <w:p w:rsidR="002C7B8C" w:rsidRPr="002C7B8C" w:rsidRDefault="002C7B8C" w:rsidP="002C7B8C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C7B8C" w:rsidRPr="002C7B8C" w:rsidTr="002C7B8C">
        <w:trPr>
          <w:trHeight w:val="3600"/>
        </w:trPr>
        <w:tc>
          <w:tcPr>
            <w:tcW w:w="817" w:type="dxa"/>
            <w:noWrap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小动物生化仪</w:t>
            </w:r>
          </w:p>
        </w:tc>
        <w:tc>
          <w:tcPr>
            <w:tcW w:w="851" w:type="dxa"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/>
                <w:sz w:val="28"/>
                <w:szCs w:val="28"/>
              </w:rPr>
              <w:t xml:space="preserve"> 1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4586" w:type="dxa"/>
            <w:hideMark/>
          </w:tcPr>
          <w:p w:rsidR="002C7B8C" w:rsidRPr="002C7B8C" w:rsidRDefault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用途：能够全自动快速开展常规生化项目的检测，如肝功能、肾功能、血糖、血脂等项目的检测,满足动物实验室的需求。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1、项目参数：提供≥36项常规生化及电解质参数，且仪器必须包含以下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检测项目：胆红素、尿素氮、胆固醇、肌酐、尿素、尿酸、甘油三脂、葡萄糖、碱性磷酸酶、淀粉酶、肌酸肌激酶、r－谷氨酰转肽酶、谷草转氨酶、谷丙转氨酶、钾、钠、氯、钙、镁、苯巴比妥；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2、试剂技术：采用多层膜干化学技术，而且多层膜中含有特殊的过滤层，用来消除干扰物质对化学反应的影响；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3、动物专属参考值：仪器内部数据库提供不少于39种不同年龄不同种属动物的参考值范围：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4、联机：可以通过实验室管理系统与血细胞分析仪、血气分析仪、尿液等联机，整合成全面的中文报告单。</w:t>
            </w:r>
          </w:p>
        </w:tc>
      </w:tr>
      <w:tr w:rsidR="002C7B8C" w:rsidRPr="002C7B8C" w:rsidTr="002C7B8C">
        <w:trPr>
          <w:trHeight w:val="3201"/>
        </w:trPr>
        <w:tc>
          <w:tcPr>
            <w:tcW w:w="817" w:type="dxa"/>
            <w:noWrap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动物天平</w:t>
            </w:r>
          </w:p>
        </w:tc>
        <w:tc>
          <w:tcPr>
            <w:tcW w:w="851" w:type="dxa"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4586" w:type="dxa"/>
            <w:hideMark/>
          </w:tcPr>
          <w:p w:rsidR="002C7B8C" w:rsidRPr="002C7B8C" w:rsidRDefault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动物天平：用于实验动物称量体重，动物组织称量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主要技术参数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内部校准功能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电压 100–240Vac|±10%,200mA(max.)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工作频率 50–60Hz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功率消耗 最大16VA;平均8VA(包括电源适配器功率消耗)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操作时间 配合外部可充电电池YRB11Z使用(显示背光灯点亮情况下)约35h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 xml:space="preserve">水平调节 气泡定心玻璃水平指示器 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显示屏 白色背光， 高对比度显示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br/>
              <w:t>配置：主机一台，防尘罩一个，组织称量盒2个</w:t>
            </w:r>
          </w:p>
        </w:tc>
      </w:tr>
      <w:tr w:rsidR="002C7B8C" w:rsidRPr="002C7B8C" w:rsidTr="002C7B8C">
        <w:trPr>
          <w:trHeight w:val="400"/>
        </w:trPr>
        <w:tc>
          <w:tcPr>
            <w:tcW w:w="817" w:type="dxa"/>
            <w:noWrap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大小鼠</w:t>
            </w:r>
            <w:r w:rsidRPr="002C7B8C">
              <w:rPr>
                <w:rFonts w:asciiTheme="minorEastAsia" w:hAnsiTheme="minorEastAsia"/>
                <w:sz w:val="28"/>
                <w:szCs w:val="28"/>
              </w:rPr>
              <w:t>IVC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笼具</w:t>
            </w:r>
          </w:p>
        </w:tc>
        <w:tc>
          <w:tcPr>
            <w:tcW w:w="851" w:type="dxa"/>
            <w:hideMark/>
          </w:tcPr>
          <w:p w:rsidR="002C7B8C" w:rsidRPr="002C7B8C" w:rsidRDefault="002C7B8C" w:rsidP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批</w:t>
            </w:r>
          </w:p>
        </w:tc>
        <w:tc>
          <w:tcPr>
            <w:tcW w:w="4586" w:type="dxa"/>
            <w:hideMark/>
          </w:tcPr>
          <w:p w:rsidR="002C7B8C" w:rsidRPr="002C7B8C" w:rsidRDefault="002C7B8C">
            <w:pPr>
              <w:rPr>
                <w:rFonts w:asciiTheme="minorEastAsia" w:hAnsiTheme="minorEastAsia"/>
                <w:sz w:val="28"/>
                <w:szCs w:val="28"/>
              </w:rPr>
            </w:pPr>
            <w:r w:rsidRPr="002C7B8C">
              <w:rPr>
                <w:rFonts w:asciiTheme="minorEastAsia" w:hAnsiTheme="minorEastAsia" w:hint="eastAsia"/>
                <w:sz w:val="28"/>
                <w:szCs w:val="28"/>
              </w:rPr>
              <w:t>配置清单要求详见附件3</w:t>
            </w:r>
          </w:p>
        </w:tc>
      </w:tr>
    </w:tbl>
    <w:p w:rsidR="000C7BEE" w:rsidRPr="000C7BEE" w:rsidRDefault="000C7BEE" w:rsidP="000C7BEE">
      <w:pPr>
        <w:rPr>
          <w:b/>
        </w:rPr>
      </w:pPr>
      <w:r w:rsidRPr="000C7BEE">
        <w:rPr>
          <w:rFonts w:hint="eastAsia"/>
          <w:b/>
        </w:rPr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A14C4B" w:rsidRPr="00A14C4B" w:rsidRDefault="00A14C4B" w:rsidP="00A14C4B">
      <w:pPr>
        <w:rPr>
          <w:rStyle w:val="a6"/>
          <w:sz w:val="28"/>
          <w:szCs w:val="28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五、</w:t>
      </w:r>
      <w:r w:rsidRPr="00A14C4B">
        <w:rPr>
          <w:rStyle w:val="a6"/>
          <w:rFonts w:hint="eastAsia"/>
          <w:sz w:val="28"/>
          <w:szCs w:val="28"/>
        </w:rPr>
        <w:t>报名企业须具备的条件：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1.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具有独立法人资格，有固定的办公和工作场地，能独立承担法律责任；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2. 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具有良好商业信誉和健全的财务会计制度；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3. 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具有履行合同所必须的设备和专业技术能力；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4. 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具有依法缴纳税收和社会保障资金的良好记录；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5. 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参加此项采购前三年内，在经营中没有重大违法记录；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6. 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法律、行政法规规定的其他条件；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7. 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其他必须具备的资质。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六、</w:t>
      </w:r>
      <w:r w:rsidRPr="00A14C4B">
        <w:rPr>
          <w:rStyle w:val="a6"/>
          <w:rFonts w:hint="eastAsia"/>
          <w:sz w:val="28"/>
          <w:szCs w:val="28"/>
        </w:rPr>
        <w:t>报名资料（所有资料均需盖公章）：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lastRenderedPageBreak/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注：报名材料需设置封面页及目录页，封面页内容包括项目编号、项目名称、代理商公司名称、项目联系人姓名及手机号码、生产厂家、设备产地、设备型号。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1．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具体资料明细（按如下顺序排列）：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（1）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报名企业公司证件：含公司营业执照、医疗器械经营许可证等，公司对授权代表的授权书，附授权代表身份证复印件等有关证件；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（2）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产品资料：产品彩页、产品详细参数及配置清单、医疗器械注册证和登记表（在国家相关网站查询打印件加盖公章）、产品的生产厂家授权函（原则上要求厂家或一级代理参与，生产厂家直接参与除外）等；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（3）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各产品报价单：须列明品牌厂家、规格型号、配置清单（可报不同档次的产品）；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（4）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所报产品需配套一次性试剂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耗材使用的，提供已在广东省或广州市医用耗材交易平台备案及试剂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耗材单价并提供平台编码；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（5）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所报产品可否收费，提供使用单位收费情况或产品适用的收费编码；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（6）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销售记录（对应产品型号，需提供证明，如发票、合同、中标通知书），近三年全国知名口腔医院或三甲公立医院的记录资料为佳；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七、</w:t>
      </w:r>
      <w:r w:rsidRPr="00A14C4B">
        <w:rPr>
          <w:rStyle w:val="a6"/>
          <w:rFonts w:hint="eastAsia"/>
          <w:sz w:val="28"/>
          <w:szCs w:val="28"/>
        </w:rPr>
        <w:t>如需组织现场市场调研会议，将另行通知已报名企业。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八、</w:t>
      </w:r>
      <w:r w:rsidRPr="00A14C4B">
        <w:rPr>
          <w:rStyle w:val="a6"/>
          <w:rFonts w:hint="eastAsia"/>
          <w:sz w:val="28"/>
          <w:szCs w:val="28"/>
        </w:rPr>
        <w:t>召开现场市场调研会议，供应商当天需出示绿码进医院参与调研工作。</w:t>
      </w:r>
    </w:p>
    <w:p w:rsidR="00A14C4B" w:rsidRPr="00A14C4B" w:rsidRDefault="00A14C4B" w:rsidP="00A14C4B"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注：有知识产权、代理权等方面纠纷的供应商及产品不予考虑。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lastRenderedPageBreak/>
        <w:t>如有虚假、违规行为，一经发现，将列入我院供应商黑名单。</w:t>
      </w:r>
    </w:p>
    <w:p w:rsidR="00E45983" w:rsidRPr="00A14C4B" w:rsidRDefault="00E45983" w:rsidP="00E45983"/>
    <w:sectPr w:rsidR="00E45983" w:rsidRPr="00A14C4B" w:rsidSect="003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C3" w:rsidRDefault="009B3EC3" w:rsidP="00E45983">
      <w:r>
        <w:separator/>
      </w:r>
    </w:p>
  </w:endnote>
  <w:endnote w:type="continuationSeparator" w:id="1">
    <w:p w:rsidR="009B3EC3" w:rsidRDefault="009B3EC3" w:rsidP="00E4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C3" w:rsidRDefault="009B3EC3" w:rsidP="00E45983">
      <w:r>
        <w:separator/>
      </w:r>
    </w:p>
  </w:footnote>
  <w:footnote w:type="continuationSeparator" w:id="1">
    <w:p w:rsidR="009B3EC3" w:rsidRDefault="009B3EC3" w:rsidP="00E45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983"/>
    <w:rsid w:val="000567D6"/>
    <w:rsid w:val="000C7BEE"/>
    <w:rsid w:val="000D2D6B"/>
    <w:rsid w:val="000D3BD8"/>
    <w:rsid w:val="000E3DAB"/>
    <w:rsid w:val="000F3882"/>
    <w:rsid w:val="00153817"/>
    <w:rsid w:val="001A569A"/>
    <w:rsid w:val="001C4DFD"/>
    <w:rsid w:val="001E7162"/>
    <w:rsid w:val="00201F33"/>
    <w:rsid w:val="00256D50"/>
    <w:rsid w:val="0026166E"/>
    <w:rsid w:val="0028656E"/>
    <w:rsid w:val="00292D8F"/>
    <w:rsid w:val="002A7250"/>
    <w:rsid w:val="002C7B8C"/>
    <w:rsid w:val="002E3781"/>
    <w:rsid w:val="003776FD"/>
    <w:rsid w:val="00390ED0"/>
    <w:rsid w:val="00420176"/>
    <w:rsid w:val="004C3F28"/>
    <w:rsid w:val="004F24C4"/>
    <w:rsid w:val="005024FB"/>
    <w:rsid w:val="005B7D31"/>
    <w:rsid w:val="00651DF2"/>
    <w:rsid w:val="006C4CD2"/>
    <w:rsid w:val="00706F40"/>
    <w:rsid w:val="00751ED2"/>
    <w:rsid w:val="00760ACC"/>
    <w:rsid w:val="00793081"/>
    <w:rsid w:val="007D0FA4"/>
    <w:rsid w:val="008008CE"/>
    <w:rsid w:val="00863620"/>
    <w:rsid w:val="00877D22"/>
    <w:rsid w:val="008D4A32"/>
    <w:rsid w:val="008E4946"/>
    <w:rsid w:val="008F6107"/>
    <w:rsid w:val="00976848"/>
    <w:rsid w:val="009B3EC3"/>
    <w:rsid w:val="009E50A5"/>
    <w:rsid w:val="00A14C4B"/>
    <w:rsid w:val="00A47287"/>
    <w:rsid w:val="00A70EC0"/>
    <w:rsid w:val="00AC3199"/>
    <w:rsid w:val="00B322E3"/>
    <w:rsid w:val="00B747A9"/>
    <w:rsid w:val="00C37DFB"/>
    <w:rsid w:val="00C56A65"/>
    <w:rsid w:val="00CA6CC7"/>
    <w:rsid w:val="00CB752B"/>
    <w:rsid w:val="00CD2DED"/>
    <w:rsid w:val="00D011C8"/>
    <w:rsid w:val="00D03324"/>
    <w:rsid w:val="00D34D0A"/>
    <w:rsid w:val="00D37B7C"/>
    <w:rsid w:val="00D57C0B"/>
    <w:rsid w:val="00E23200"/>
    <w:rsid w:val="00E45983"/>
    <w:rsid w:val="00E521BC"/>
    <w:rsid w:val="00E61613"/>
    <w:rsid w:val="00E62301"/>
    <w:rsid w:val="00E90984"/>
    <w:rsid w:val="00EA0E7E"/>
    <w:rsid w:val="00F93263"/>
    <w:rsid w:val="00FD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983"/>
    <w:rPr>
      <w:b/>
      <w:bCs/>
      <w:kern w:val="44"/>
      <w:sz w:val="44"/>
      <w:szCs w:val="44"/>
    </w:rPr>
  </w:style>
  <w:style w:type="paragraph" w:styleId="a5">
    <w:name w:val="Normal (Web)"/>
    <w:basedOn w:val="a"/>
    <w:rsid w:val="00D34D0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D34D0A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B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52B"/>
    <w:rPr>
      <w:sz w:val="18"/>
      <w:szCs w:val="18"/>
    </w:rPr>
  </w:style>
  <w:style w:type="table" w:styleId="a8">
    <w:name w:val="Table Grid"/>
    <w:basedOn w:val="a1"/>
    <w:uiPriority w:val="59"/>
    <w:rsid w:val="00E616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2022-05-07T03:03:00Z</dcterms:created>
  <dcterms:modified xsi:type="dcterms:W3CDTF">2022-07-06T02:08:00Z</dcterms:modified>
</cp:coreProperties>
</file>