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4" w:rsidRPr="00E97DF4" w:rsidRDefault="00E97DF4" w:rsidP="00E97DF4">
      <w:pPr>
        <w:widowControl/>
        <w:shd w:val="clear" w:color="auto" w:fill="FFFFFF"/>
        <w:jc w:val="center"/>
        <w:textAlignment w:val="baseline"/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</w:rPr>
      </w:pPr>
      <w:r w:rsidRPr="00E97DF4"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</w:rPr>
        <w:t>南方医科大学口腔医院（广东省口腔医院）信息安全等级保护加固建设项目结果公告</w:t>
      </w:r>
    </w:p>
    <w:p w:rsidR="00E97DF4" w:rsidRPr="00E97DF4" w:rsidRDefault="00E97DF4" w:rsidP="00E97DF4">
      <w:pPr>
        <w:widowControl/>
        <w:shd w:val="clear" w:color="auto" w:fill="FFFFFF"/>
        <w:jc w:val="center"/>
        <w:textAlignment w:val="baseline"/>
        <w:rPr>
          <w:rFonts w:ascii="inherit" w:eastAsia="宋体" w:hAnsi="inherit" w:cs="Helvetica"/>
          <w:color w:val="FF0000"/>
          <w:kern w:val="0"/>
          <w:sz w:val="19"/>
          <w:szCs w:val="19"/>
        </w:rPr>
      </w:pP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发布机构：广东省政府采购中心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</w:rPr>
        <w:t> 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发布时间：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2022-02-21 18:11:11</w:t>
      </w:r>
    </w:p>
    <w:p w:rsidR="00E97DF4" w:rsidRPr="00E97DF4" w:rsidRDefault="00E97DF4" w:rsidP="00E97DF4">
      <w:pPr>
        <w:widowControl/>
        <w:shd w:val="clear" w:color="auto" w:fill="FFFFFF"/>
        <w:jc w:val="center"/>
        <w:textAlignment w:val="baseline"/>
        <w:rPr>
          <w:rFonts w:ascii="inherit" w:eastAsia="宋体" w:hAnsi="inherit" w:cs="Helvetica"/>
          <w:color w:val="FF0000"/>
          <w:kern w:val="0"/>
          <w:sz w:val="19"/>
          <w:szCs w:val="19"/>
        </w:rPr>
      </w:pP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采购计划编号：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440001-2022-00840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</w:rPr>
        <w:t> 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预算金额：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 xml:space="preserve">3,500,000.00 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元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</w:rPr>
        <w:t> 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采购品目：计算机设备及软件</w:t>
      </w:r>
    </w:p>
    <w:p w:rsidR="00E97DF4" w:rsidRPr="00E97DF4" w:rsidRDefault="00E97DF4" w:rsidP="00E97DF4">
      <w:pPr>
        <w:widowControl/>
        <w:shd w:val="clear" w:color="auto" w:fill="FFFFFF"/>
        <w:jc w:val="center"/>
        <w:textAlignment w:val="baseline"/>
        <w:rPr>
          <w:rFonts w:ascii="inherit" w:eastAsia="宋体" w:hAnsi="inherit" w:cs="Helvetica"/>
          <w:color w:val="FF0000"/>
          <w:kern w:val="0"/>
          <w:sz w:val="19"/>
          <w:szCs w:val="19"/>
        </w:rPr>
      </w:pP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代理机构：广东省政府采购中心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</w:rPr>
        <w:t> 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项目经办人：黄秀英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</w:rPr>
        <w:t> </w:t>
      </w:r>
      <w:r w:rsidRPr="00E97DF4">
        <w:rPr>
          <w:rFonts w:ascii="inherit" w:eastAsia="宋体" w:hAnsi="inherit" w:cs="Helvetica"/>
          <w:color w:val="FF0000"/>
          <w:kern w:val="0"/>
          <w:sz w:val="19"/>
          <w:szCs w:val="19"/>
          <w:bdr w:val="none" w:sz="0" w:space="0" w:color="auto" w:frame="1"/>
        </w:rPr>
        <w:t>项目负责人：龙海啸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一、项目编号：</w:t>
      </w: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GPCGD223174HG002J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二、项目名称：南方医科大学口腔医院（广东省口腔医院）信息安全等级保护加固建设项目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三、采购结果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合同包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1(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南方医科大学口腔医院（广东省口腔医院）信息安全等级保护加固建设项目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68"/>
        <w:gridCol w:w="439"/>
        <w:gridCol w:w="2717"/>
      </w:tblGrid>
      <w:tr w:rsidR="00E97DF4" w:rsidRPr="00E97DF4" w:rsidTr="00E97DF4">
        <w:trPr>
          <w:trHeight w:val="728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供应商地址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中标（成交）金额</w:t>
            </w:r>
          </w:p>
        </w:tc>
      </w:tr>
      <w:tr w:rsidR="00E97DF4" w:rsidRPr="00E97DF4" w:rsidTr="00E97DF4">
        <w:trPr>
          <w:trHeight w:val="435"/>
        </w:trPr>
        <w:tc>
          <w:tcPr>
            <w:tcW w:w="54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广州腾方科技有限公司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广州市天河区中山大道西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89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号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栋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8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层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802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房</w:t>
            </w:r>
          </w:p>
        </w:tc>
        <w:tc>
          <w:tcPr>
            <w:tcW w:w="2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  <w:bdr w:val="none" w:sz="0" w:space="0" w:color="auto" w:frame="1"/>
              </w:rPr>
              <w:lastRenderedPageBreak/>
              <w:t>3,461,000.00</w:t>
            </w:r>
            <w:r w:rsidRPr="00E97DF4">
              <w:rPr>
                <w:rFonts w:ascii="inherit" w:eastAsia="宋体" w:hAnsi="inherit" w:cs="宋体"/>
                <w:kern w:val="0"/>
                <w:sz w:val="22"/>
                <w:bdr w:val="none" w:sz="0" w:space="0" w:color="auto" w:frame="1"/>
              </w:rPr>
              <w:t>元</w:t>
            </w:r>
          </w:p>
        </w:tc>
      </w:tr>
    </w:tbl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lastRenderedPageBreak/>
        <w:t>四、主要标的信息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合同包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1(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南方医科大学口腔医院（广东省口腔医院）信息安全等级保护加固建设项目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):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货物类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9"/>
        <w:gridCol w:w="536"/>
        <w:gridCol w:w="811"/>
        <w:gridCol w:w="495"/>
        <w:gridCol w:w="3030"/>
        <w:gridCol w:w="703"/>
        <w:gridCol w:w="1235"/>
        <w:gridCol w:w="1235"/>
      </w:tblGrid>
      <w:tr w:rsidR="00E97DF4" w:rsidRPr="00E97DF4" w:rsidTr="00E97DF4">
        <w:trPr>
          <w:trHeight w:val="728"/>
          <w:tblHeader/>
        </w:trPr>
        <w:tc>
          <w:tcPr>
            <w:tcW w:w="10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品目号</w:t>
            </w:r>
          </w:p>
        </w:tc>
        <w:tc>
          <w:tcPr>
            <w:tcW w:w="11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品目名称</w:t>
            </w:r>
          </w:p>
        </w:tc>
        <w:tc>
          <w:tcPr>
            <w:tcW w:w="11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采购标的</w:t>
            </w:r>
          </w:p>
        </w:tc>
        <w:tc>
          <w:tcPr>
            <w:tcW w:w="8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13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数量（单位）</w:t>
            </w:r>
          </w:p>
        </w:tc>
        <w:tc>
          <w:tcPr>
            <w:tcW w:w="1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单价</w:t>
            </w: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(</w:t>
            </w: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元</w:t>
            </w: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总价</w:t>
            </w: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(</w:t>
            </w: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元</w:t>
            </w: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)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数据库审计系统（核心产品）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安恒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型号：安恒明御数据库审计与风险控制系统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DAS-A3000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规格：具有内存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32GB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；硬盘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4TB*2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，支持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RAID1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；配备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个千兆电口管理口；配备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个千兆电口审计口和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个千兆光口审计口（不含光模块）；提供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台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155,000.00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155,000.00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边界防火墙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安恒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型号：安恒明御安全网关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DAS-NGFW890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规格：机架式设备，高度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1U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GE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电口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combo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口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个（不含光模块），硬盘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500GB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年应用识别库升级服务，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年病毒防护特征库升级服务，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年入侵防御特征库升级服务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, 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年威胁情报库升级服务。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6(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93,800.00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562,800.00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日志审计系统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安恒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型号：安恒明御综合日志审计平台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DAS-LOG-1000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规格：管理和业务口：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6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个千兆电口，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个千兆光口（配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个多模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SFP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光纤模块））；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Console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口：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个；内存：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16GB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；磁盘：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块（支持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raid1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raid5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），单盘容量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2TB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；双电源；提供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121,000.00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121,000.00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服务器区防火墙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奇安信网神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SecGate 3600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防火墙系统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V3.6.6.0 NSG5000-TG65M-QW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2U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机箱，冗余电源；提供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6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10/100/1000M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自适应电口、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千兆光口（含千兆多模光模块）、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Console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口；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年应用识别库升级服务，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年病毒防护特征库升级服务，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年入侵防御特征库升级服务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, 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年威胁情报库升级服务；提供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25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VPN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并发用户数授权。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178,000.00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356,000.00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Web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应用防火墙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奇安信网神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SecWAF 3600 Web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应用防火墙系统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V4.0 W5000-U025P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2U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机箱，具有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块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1TB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硬盘，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个扩展插槽；配置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6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10/100/1000M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自适应电口，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个千兆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SFP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光口，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组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bypass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Console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口；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Web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安全保护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64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个站点；提供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115,800.00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115,800.00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堡垒机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安恒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型号：安恒明御运维审计与风险控制系统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DAS-USM500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2U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机架式设备，具有冗余电源；配备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2*GE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电管理口，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4*GE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电业务口，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4*GE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光业务口（含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个千兆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SFP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多模光模块）；磁盘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1TB*2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；授权资产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数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200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个，最大可授权资产数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500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，运维用户无限制；提供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112,500.00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112,500.00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网络安全态势感知平台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奇安信网神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型号：安全分析与管理系统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V4.0 S-NGSOC-LV-PS-01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2U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上架设备，含滑轨；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CPU 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颗，每颗具有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核、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2.2 GHZ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主频；内存：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128GB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（总容量）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DDR4 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；硬盘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块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960GB SSD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固态硬盘组成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Raid 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；硬盘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8*4TB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企业级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SATA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硬盘；电源：冗余双电源；网口：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4*GE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管理电口、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2*SPF+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光口（含多模光模块）；支持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50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个日志源资产；提供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529,500.00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529,500.00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主机安全管理系统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奇安信网神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型号：统一服务器安全管理系统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V8.0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规格：配置主机授权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50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个；控制中心一次授权永久有效，当平台扩容或新增主机数量时，无需额外购买控制中心扩展升级授权；提供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年原厂软件维护服务和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年特征库升级服务。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162,000.00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162,000.00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安全网闸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奇安信网神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SecSIS 3600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安全隔离与信息交换系统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V2.0 G5000-TG30M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2U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机箱，具有冗余电源；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内网接口：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6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10/100/1000Base-T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端口，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SFP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光口（不含光模块）；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外网接口：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6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10/100/1000Base-T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端口，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SFP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口（不含光模块）；提供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133,800.00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133,800.00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网络流量探针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奇安信网神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NGSOC-NDS5000-TG25P 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2U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机箱，配置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6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10/100/1000M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自适应电口、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Console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口；提供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108,000.00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108,000.00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备份一体机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美创科技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CDP-T2010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2U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机架式，内置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8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块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4TB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企业级硬盘、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颗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8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核处理器；配置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32G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高速缓存；配置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块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120G SSD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系统盘；提供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个千兆以太网口；提供冗余电源；配置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32TB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硬盘裸容量的实时备份容量授权许可；配置不限节点实时备份授权许可；配置不限节点容灾接管授权许可；提供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339,000.00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339,000.00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接入交换机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H3C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S5130S-52S-EI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48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10/100/1000TX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以太网端口、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10G SFP+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光口（不含光模块），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console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口；提供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26,800.00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53,600.00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汇聚交换机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H3C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 S6520X-54QC-EI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规格：提供万兆以太网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SFP+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光端口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48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个（本次配置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24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个万兆光模块），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40G QSFP+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光端口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个（不含光模块）；提供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年原厂硬件维保及软件升级服务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82,000.00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164,000.00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lastRenderedPageBreak/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安全服务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定制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定制服务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300,000.00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计算机设备及软件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容灾备份系统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美创科技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型号：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DBRA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数据级容灾系统规格：配置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套容灾管理软件许可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 xml:space="preserve">, 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含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个任意数据库容灾许可；提供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年原厂软件维护服务。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1(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批</w:t>
            </w:r>
            <w:r w:rsidRPr="00E97DF4">
              <w:rPr>
                <w:rFonts w:ascii="inherit" w:eastAsia="宋体" w:hAnsi="inherit" w:cs="宋体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248,000.00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spacing w:line="326" w:lineRule="atLeast"/>
              <w:jc w:val="right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248,000.00</w:t>
            </w:r>
          </w:p>
        </w:tc>
      </w:tr>
    </w:tbl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五、评审专家（单一来源采购人员）名单：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  <w:bdr w:val="none" w:sz="0" w:space="0" w:color="auto" w:frame="1"/>
        </w:rPr>
        <w:t>曾海、孔浩、郭家荣（采购人代表）、廖恩红、孟兆会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六、代理服务收费标准及金额：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代理服务费收费标准：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按照委托协议约定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代理服务费金额：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  <w:bdr w:val="none" w:sz="0" w:space="0" w:color="auto" w:frame="1"/>
        </w:rPr>
        <w:t>合同包</w:t>
      </w:r>
      <w:r w:rsidRPr="00E97DF4">
        <w:rPr>
          <w:rFonts w:ascii="inherit" w:eastAsia="宋体" w:hAnsi="inherit" w:cs="Helvetica"/>
          <w:color w:val="000000"/>
          <w:kern w:val="0"/>
          <w:sz w:val="22"/>
          <w:bdr w:val="none" w:sz="0" w:space="0" w:color="auto" w:frame="1"/>
        </w:rPr>
        <w:t>1(</w:t>
      </w:r>
      <w:r w:rsidRPr="00E97DF4">
        <w:rPr>
          <w:rFonts w:ascii="inherit" w:eastAsia="宋体" w:hAnsi="inherit" w:cs="Helvetica"/>
          <w:color w:val="000000"/>
          <w:kern w:val="0"/>
          <w:sz w:val="22"/>
          <w:bdr w:val="none" w:sz="0" w:space="0" w:color="auto" w:frame="1"/>
        </w:rPr>
        <w:t>南方医科大学口腔医院（广东省口腔医院）信息安全等级保护加固建设项目</w:t>
      </w:r>
      <w:r w:rsidRPr="00E97DF4">
        <w:rPr>
          <w:rFonts w:ascii="inherit" w:eastAsia="宋体" w:hAnsi="inherit" w:cs="Helvetica"/>
          <w:color w:val="000000"/>
          <w:kern w:val="0"/>
          <w:sz w:val="22"/>
          <w:bdr w:val="none" w:sz="0" w:space="0" w:color="auto" w:frame="1"/>
        </w:rPr>
        <w:t>)</w:t>
      </w:r>
      <w:r w:rsidRPr="00E97DF4">
        <w:rPr>
          <w:rFonts w:ascii="inherit" w:eastAsia="宋体" w:hAnsi="inherit" w:cs="Helvetica"/>
          <w:color w:val="000000"/>
          <w:kern w:val="0"/>
          <w:sz w:val="22"/>
          <w:bdr w:val="none" w:sz="0" w:space="0" w:color="auto" w:frame="1"/>
        </w:rPr>
        <w:t>：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 4.2071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万元。收取对象：中标（成交）供应商。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七、公告期限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自本公告发布之日起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1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个工作日。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八、其他补充事宜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80" w:lineRule="auto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合同包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1(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南方医科大学口腔医院（广东省口腔医院）信息安全等级保护加固建设项目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7"/>
        <w:gridCol w:w="549"/>
        <w:gridCol w:w="548"/>
        <w:gridCol w:w="520"/>
        <w:gridCol w:w="520"/>
        <w:gridCol w:w="520"/>
        <w:gridCol w:w="520"/>
        <w:gridCol w:w="520"/>
        <w:gridCol w:w="520"/>
      </w:tblGrid>
      <w:tr w:rsidR="00E97DF4" w:rsidRPr="00E97DF4" w:rsidTr="00E97DF4">
        <w:trPr>
          <w:trHeight w:val="728"/>
          <w:tblHeader/>
        </w:trPr>
        <w:tc>
          <w:tcPr>
            <w:tcW w:w="43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lastRenderedPageBreak/>
              <w:t>供应商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资格性审查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符合性审查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技术得分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商务得分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价格得分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综合得分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得分排名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b/>
                <w:bCs/>
                <w:kern w:val="0"/>
                <w:sz w:val="22"/>
              </w:rPr>
              <w:t>推荐排名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广州腾方科技有限公司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通过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通过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39.20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29.90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99.10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广州市坤腾软件技术有限公司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通过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通过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34.00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16.00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29.80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79.80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</w:t>
            </w: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广州中软信息技术有限公司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通过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通过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17.40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23.00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70.40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</w:p>
        </w:tc>
      </w:tr>
      <w:tr w:rsidR="00E97DF4" w:rsidRPr="00E97DF4" w:rsidTr="00E97DF4">
        <w:trPr>
          <w:trHeight w:val="43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广东中标数据科技股份有限公司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通过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通过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27.60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11.00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29.70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68.30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  <w:r w:rsidRPr="00E97DF4">
              <w:rPr>
                <w:rFonts w:ascii="inherit" w:eastAsia="宋体" w:hAnsi="inherit" w:cs="宋体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E97DF4" w:rsidRPr="00E97DF4" w:rsidRDefault="00E97DF4" w:rsidP="00E97DF4">
            <w:pPr>
              <w:widowControl/>
              <w:wordWrap w:val="0"/>
              <w:spacing w:line="326" w:lineRule="atLeast"/>
              <w:jc w:val="center"/>
              <w:rPr>
                <w:rFonts w:ascii="inherit" w:eastAsia="宋体" w:hAnsi="inherit" w:cs="宋体"/>
                <w:kern w:val="0"/>
                <w:sz w:val="22"/>
              </w:rPr>
            </w:pPr>
          </w:p>
        </w:tc>
      </w:tr>
    </w:tbl>
    <w:p w:rsidR="00E97DF4" w:rsidRPr="00E97DF4" w:rsidRDefault="00E97DF4" w:rsidP="00E97DF4">
      <w:pPr>
        <w:widowControl/>
        <w:shd w:val="clear" w:color="auto" w:fill="FFFFFF"/>
        <w:wordWrap w:val="0"/>
        <w:spacing w:line="679" w:lineRule="atLeast"/>
        <w:jc w:val="left"/>
        <w:textAlignment w:val="baseline"/>
        <w:outlineLvl w:val="3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b/>
          <w:bCs/>
          <w:color w:val="000000"/>
          <w:kern w:val="0"/>
          <w:sz w:val="22"/>
        </w:rPr>
        <w:t>九、凡对本次公告内容提出询问，请按以下方式联系。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1.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釆购人信息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名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  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称：南方医科大学口腔医院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地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  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址：广州市江南大道南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366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号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联系方式：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34037250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2.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釆购代理机构信息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名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  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称：广东省政府采购中心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地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  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址：广东省广州市越秀区越华路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118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号之一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810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联系方式：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020-62791652/62791851/62791666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3.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项目联系方式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项目联系人：黄工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电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  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话：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020-62791652/62791851/62791666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jc w:val="right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广东省政府采购中心</w:t>
      </w:r>
    </w:p>
    <w:p w:rsidR="00E97DF4" w:rsidRPr="00E97DF4" w:rsidRDefault="00E97DF4" w:rsidP="00E97DF4">
      <w:pPr>
        <w:widowControl/>
        <w:shd w:val="clear" w:color="auto" w:fill="FFFFFF"/>
        <w:wordWrap w:val="0"/>
        <w:spacing w:line="435" w:lineRule="atLeast"/>
        <w:ind w:firstLine="435"/>
        <w:jc w:val="right"/>
        <w:textAlignment w:val="baseline"/>
        <w:rPr>
          <w:rFonts w:ascii="inherit" w:eastAsia="宋体" w:hAnsi="inherit" w:cs="Helvetica"/>
          <w:color w:val="000000"/>
          <w:kern w:val="0"/>
          <w:sz w:val="22"/>
        </w:rPr>
      </w:pPr>
      <w:r w:rsidRPr="00E97DF4">
        <w:rPr>
          <w:rFonts w:ascii="inherit" w:eastAsia="宋体" w:hAnsi="inherit" w:cs="Helvetica"/>
          <w:color w:val="000000"/>
          <w:kern w:val="0"/>
          <w:sz w:val="22"/>
        </w:rPr>
        <w:t>2022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年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02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月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21</w:t>
      </w:r>
      <w:r w:rsidRPr="00E97DF4">
        <w:rPr>
          <w:rFonts w:ascii="inherit" w:eastAsia="宋体" w:hAnsi="inherit" w:cs="Helvetica"/>
          <w:color w:val="000000"/>
          <w:kern w:val="0"/>
          <w:sz w:val="22"/>
        </w:rPr>
        <w:t>日</w:t>
      </w:r>
    </w:p>
    <w:p w:rsidR="006C5427" w:rsidRDefault="006C5427">
      <w:pPr>
        <w:rPr>
          <w:rFonts w:hint="eastAsia"/>
        </w:rPr>
      </w:pPr>
    </w:p>
    <w:sectPr w:rsidR="006C5427" w:rsidSect="006C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DF4"/>
    <w:rsid w:val="006C5427"/>
    <w:rsid w:val="00E9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27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97DF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97DF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97DF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97DF4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info-title-especially">
    <w:name w:val="info-title-especially"/>
    <w:basedOn w:val="a"/>
    <w:rsid w:val="00E97D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E97D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7D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7DF4"/>
    <w:rPr>
      <w:b/>
      <w:bCs/>
    </w:rPr>
  </w:style>
  <w:style w:type="paragraph" w:customStyle="1" w:styleId="u-content">
    <w:name w:val="u-content"/>
    <w:basedOn w:val="a"/>
    <w:rsid w:val="00E97D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E9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0" w:color="FF0000"/>
            <w:right w:val="none" w:sz="0" w:space="0" w:color="auto"/>
          </w:divBdr>
        </w:div>
        <w:div w:id="1580752490">
          <w:marLeft w:val="136"/>
          <w:marRight w:val="136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7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7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62035">
                          <w:marLeft w:val="258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567</Words>
  <Characters>3237</Characters>
  <Application>Microsoft Office Word</Application>
  <DocSecurity>0</DocSecurity>
  <Lines>26</Lines>
  <Paragraphs>7</Paragraphs>
  <ScaleCrop>false</ScaleCrop>
  <Company>Lenovo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2022-03-14T01:38:00Z</dcterms:created>
  <dcterms:modified xsi:type="dcterms:W3CDTF">2022-03-14T01:38:00Z</dcterms:modified>
</cp:coreProperties>
</file>