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360" w:lineRule="auto"/>
        <w:jc w:val="center"/>
        <w:outlineLvl w:val="0"/>
        <w:rPr>
          <w:rFonts w:ascii="黑体" w:hAnsi="黑体" w:eastAsia="黑体"/>
          <w:color w:val="auto"/>
          <w:sz w:val="28"/>
          <w:szCs w:val="28"/>
        </w:rPr>
      </w:pPr>
      <w:bookmarkStart w:id="0" w:name="_Toc26142"/>
      <w:r>
        <w:rPr>
          <w:rFonts w:hint="eastAsia" w:ascii="黑体" w:hAnsi="黑体" w:eastAsia="黑体"/>
          <w:b/>
          <w:color w:val="auto"/>
          <w:sz w:val="28"/>
          <w:szCs w:val="28"/>
        </w:rPr>
        <w:t>南方医科大学口腔医院（广东省口腔医院）HIS与医疗收费电子票据系统对接项目竞争性磋商公告</w:t>
      </w:r>
      <w:bookmarkEnd w:id="0"/>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广东华鑫招标采购有限公司</w:t>
      </w:r>
      <w:r>
        <w:rPr>
          <w:rFonts w:hint="eastAsia" w:ascii="宋体" w:hAnsi="宋体" w:cs="宋体"/>
          <w:color w:val="auto"/>
          <w:kern w:val="0"/>
          <w:sz w:val="24"/>
        </w:rPr>
        <w:t>（以下简称“采购代理机构</w:t>
      </w:r>
      <w:r>
        <w:rPr>
          <w:rFonts w:hint="eastAsia" w:ascii="宋体" w:hAnsi="宋体" w:cs="宋体"/>
          <w:color w:val="auto"/>
          <w:spacing w:val="-20"/>
          <w:kern w:val="0"/>
          <w:sz w:val="24"/>
        </w:rPr>
        <w:t>”）</w:t>
      </w:r>
      <w:r>
        <w:rPr>
          <w:rFonts w:hint="eastAsia" w:ascii="宋体" w:hAnsi="宋体" w:cs="宋体"/>
          <w:color w:val="auto"/>
          <w:kern w:val="0"/>
          <w:sz w:val="24"/>
        </w:rPr>
        <w:t>受</w:t>
      </w:r>
      <w:r>
        <w:rPr>
          <w:rFonts w:hint="eastAsia" w:ascii="宋体" w:hAnsi="宋体" w:cs="宋体"/>
          <w:color w:val="auto"/>
          <w:kern w:val="0"/>
          <w:sz w:val="24"/>
          <w:u w:val="single"/>
        </w:rPr>
        <w:t>南方医科大学口腔医院（广东省口腔医院）</w:t>
      </w:r>
      <w:r>
        <w:rPr>
          <w:rFonts w:hint="eastAsia" w:ascii="宋体" w:hAnsi="宋体" w:cs="宋体"/>
          <w:color w:val="auto"/>
          <w:kern w:val="0"/>
          <w:sz w:val="24"/>
        </w:rPr>
        <w:t>（以下简称“采购人”）的委托，就</w:t>
      </w:r>
      <w:r>
        <w:rPr>
          <w:rFonts w:hint="eastAsia" w:ascii="宋体" w:hAnsi="宋体" w:cs="宋体"/>
          <w:color w:val="auto"/>
          <w:kern w:val="0"/>
          <w:sz w:val="24"/>
          <w:u w:val="single"/>
        </w:rPr>
        <w:t>南方医科大学口腔医院（广东省口腔医院）HIS与医疗收费电子票据系统对接项目</w:t>
      </w:r>
      <w:r>
        <w:rPr>
          <w:rFonts w:hint="eastAsia" w:ascii="宋体" w:hAnsi="宋体"/>
          <w:color w:val="auto"/>
          <w:sz w:val="24"/>
        </w:rPr>
        <w:t>采用竞争性磋商方式进行采购，欢迎符合资格条件的供应商参加。</w:t>
      </w:r>
    </w:p>
    <w:p>
      <w:pPr>
        <w:adjustRightInd w:val="0"/>
        <w:snapToGrid w:val="0"/>
        <w:spacing w:line="360" w:lineRule="auto"/>
        <w:ind w:firstLine="480" w:firstLineChars="200"/>
        <w:jc w:val="left"/>
        <w:rPr>
          <w:rFonts w:ascii="宋体" w:hAnsi="宋体"/>
          <w:color w:val="auto"/>
          <w:sz w:val="24"/>
        </w:rPr>
      </w:pPr>
    </w:p>
    <w:p>
      <w:pPr>
        <w:adjustRightInd w:val="0"/>
        <w:snapToGrid w:val="0"/>
        <w:spacing w:line="360" w:lineRule="auto"/>
        <w:jc w:val="left"/>
        <w:rPr>
          <w:rFonts w:hint="eastAsia" w:ascii="宋体" w:hAnsi="宋体" w:eastAsia="黑体"/>
          <w:bCs/>
          <w:color w:val="auto"/>
          <w:sz w:val="24"/>
        </w:rPr>
      </w:pPr>
      <w:r>
        <w:rPr>
          <w:rFonts w:hint="eastAsia" w:ascii="黑体" w:hAnsi="黑体" w:eastAsia="黑体"/>
          <w:b/>
          <w:color w:val="auto"/>
          <w:sz w:val="28"/>
          <w:szCs w:val="28"/>
        </w:rPr>
        <w:t>一、采购项目编号：</w:t>
      </w:r>
      <w:r>
        <w:rPr>
          <w:rFonts w:hint="eastAsia" w:ascii="宋体" w:hAnsi="宋体"/>
          <w:color w:val="auto"/>
          <w:sz w:val="28"/>
          <w:szCs w:val="28"/>
        </w:rPr>
        <w:t>HX27400120YLZC</w:t>
      </w:r>
    </w:p>
    <w:p>
      <w:pPr>
        <w:adjustRightInd w:val="0"/>
        <w:snapToGrid w:val="0"/>
        <w:spacing w:line="360" w:lineRule="auto"/>
        <w:ind w:firstLine="480" w:firstLineChars="200"/>
        <w:jc w:val="left"/>
        <w:rPr>
          <w:rFonts w:ascii="宋体" w:hAnsi="宋体"/>
          <w:bCs/>
          <w:color w:val="auto"/>
          <w:sz w:val="24"/>
        </w:rPr>
      </w:pPr>
    </w:p>
    <w:p>
      <w:pPr>
        <w:adjustRightInd w:val="0"/>
        <w:snapToGrid w:val="0"/>
        <w:spacing w:line="360" w:lineRule="auto"/>
        <w:jc w:val="left"/>
        <w:rPr>
          <w:rFonts w:hint="eastAsia" w:ascii="宋体" w:hAnsi="宋体" w:eastAsia="黑体" w:cs="宋体"/>
          <w:color w:val="auto"/>
          <w:kern w:val="0"/>
          <w:sz w:val="24"/>
        </w:rPr>
      </w:pPr>
      <w:r>
        <w:rPr>
          <w:rFonts w:hint="eastAsia" w:ascii="黑体" w:hAnsi="黑体" w:eastAsia="黑体"/>
          <w:b/>
          <w:color w:val="auto"/>
          <w:sz w:val="28"/>
          <w:szCs w:val="28"/>
        </w:rPr>
        <w:t>二、采购项目名称：</w:t>
      </w:r>
      <w:r>
        <w:rPr>
          <w:rFonts w:hint="eastAsia" w:ascii="宋体" w:hAnsi="宋体" w:cs="宋体"/>
          <w:color w:val="auto"/>
          <w:kern w:val="0"/>
          <w:sz w:val="28"/>
          <w:szCs w:val="28"/>
        </w:rPr>
        <w:t>南方医科大学口腔医院（广东省口腔医院）HIS与医疗收费电子票据系统对接项目</w:t>
      </w:r>
    </w:p>
    <w:p>
      <w:pPr>
        <w:adjustRightInd w:val="0"/>
        <w:snapToGrid w:val="0"/>
        <w:spacing w:line="360" w:lineRule="auto"/>
        <w:ind w:firstLine="480" w:firstLineChars="200"/>
        <w:jc w:val="left"/>
        <w:rPr>
          <w:rFonts w:ascii="宋体" w:hAnsi="宋体"/>
          <w:color w:val="auto"/>
          <w:sz w:val="24"/>
        </w:rPr>
      </w:pPr>
    </w:p>
    <w:p>
      <w:pPr>
        <w:adjustRightInd w:val="0"/>
        <w:snapToGrid w:val="0"/>
        <w:spacing w:line="360" w:lineRule="auto"/>
        <w:jc w:val="left"/>
        <w:rPr>
          <w:rFonts w:hint="eastAsia" w:ascii="宋体" w:hAnsi="宋体"/>
          <w:bCs/>
          <w:color w:val="auto"/>
          <w:sz w:val="24"/>
        </w:rPr>
      </w:pPr>
      <w:r>
        <w:rPr>
          <w:rFonts w:hint="eastAsia" w:ascii="黑体" w:hAnsi="黑体" w:eastAsia="黑体"/>
          <w:b/>
          <w:color w:val="auto"/>
          <w:sz w:val="28"/>
          <w:szCs w:val="28"/>
        </w:rPr>
        <w:t>三、采购预算及资金来源:</w:t>
      </w:r>
      <w:r>
        <w:rPr>
          <w:rFonts w:hint="eastAsia" w:ascii="宋体" w:hAnsi="宋体" w:cs="宋体"/>
          <w:color w:val="auto"/>
          <w:sz w:val="28"/>
          <w:szCs w:val="28"/>
        </w:rPr>
        <w:t xml:space="preserve"> </w:t>
      </w:r>
      <w:r>
        <w:rPr>
          <w:rFonts w:hint="eastAsia" w:ascii="宋体" w:hAnsi="宋体" w:cs="宋体"/>
          <w:color w:val="auto"/>
          <w:sz w:val="24"/>
        </w:rPr>
        <w:t>54万</w:t>
      </w:r>
      <w:r>
        <w:rPr>
          <w:rFonts w:hint="eastAsia" w:ascii="宋体" w:hAnsi="宋体"/>
          <w:bCs/>
          <w:color w:val="auto"/>
          <w:sz w:val="24"/>
        </w:rPr>
        <w:t>，</w:t>
      </w:r>
      <w:r>
        <w:rPr>
          <w:rFonts w:hint="eastAsia" w:ascii="宋体"/>
          <w:color w:val="auto"/>
          <w:sz w:val="24"/>
        </w:rPr>
        <w:t>非财政性资金/单位自筹资金,已落实</w:t>
      </w:r>
      <w:r>
        <w:rPr>
          <w:rFonts w:hint="eastAsia" w:ascii="宋体" w:hAnsi="宋体"/>
          <w:bCs/>
          <w:color w:val="auto"/>
          <w:sz w:val="24"/>
        </w:rPr>
        <w:t>。</w:t>
      </w:r>
    </w:p>
    <w:p>
      <w:pPr>
        <w:pStyle w:val="5"/>
        <w:ind w:firstLine="0"/>
        <w:rPr>
          <w:color w:val="auto"/>
        </w:rPr>
      </w:pPr>
    </w:p>
    <w:p>
      <w:pPr>
        <w:adjustRightInd w:val="0"/>
        <w:snapToGrid w:val="0"/>
        <w:spacing w:line="360" w:lineRule="auto"/>
        <w:jc w:val="left"/>
        <w:rPr>
          <w:rFonts w:hint="eastAsia" w:ascii="宋体" w:hAnsi="宋体" w:cs="宋体"/>
          <w:color w:val="auto"/>
          <w:kern w:val="0"/>
          <w:sz w:val="24"/>
        </w:rPr>
      </w:pPr>
      <w:r>
        <w:rPr>
          <w:rFonts w:hint="eastAsia" w:ascii="黑体" w:hAnsi="黑体" w:eastAsia="黑体"/>
          <w:b/>
          <w:color w:val="auto"/>
          <w:sz w:val="28"/>
          <w:szCs w:val="28"/>
        </w:rPr>
        <w:t>四、项目类别：</w:t>
      </w:r>
      <w:r>
        <w:rPr>
          <w:rFonts w:hint="eastAsia" w:ascii="宋体" w:hAnsi="宋体" w:cs="宋体"/>
          <w:color w:val="auto"/>
          <w:kern w:val="0"/>
          <w:sz w:val="24"/>
        </w:rPr>
        <w:t>货物类</w:t>
      </w:r>
    </w:p>
    <w:p>
      <w:pPr>
        <w:pStyle w:val="5"/>
        <w:rPr>
          <w:color w:val="auto"/>
        </w:rPr>
      </w:pPr>
    </w:p>
    <w:p>
      <w:pPr>
        <w:spacing w:line="360" w:lineRule="auto"/>
        <w:rPr>
          <w:rFonts w:hint="eastAsia" w:ascii="宋体" w:hAnsi="宋体" w:eastAsia="黑体" w:cs="宋体"/>
          <w:bCs/>
          <w:color w:val="auto"/>
          <w:sz w:val="28"/>
          <w:szCs w:val="28"/>
        </w:rPr>
      </w:pPr>
      <w:r>
        <w:rPr>
          <w:rFonts w:hint="eastAsia" w:ascii="黑体" w:hAnsi="黑体" w:eastAsia="黑体"/>
          <w:b/>
          <w:color w:val="auto"/>
          <w:sz w:val="28"/>
          <w:szCs w:val="28"/>
        </w:rPr>
        <w:t>五、交货期：合同签订之日起20个日历日内系统上线，30个日历日内系统达到验收标准。</w:t>
      </w:r>
    </w:p>
    <w:p>
      <w:pPr>
        <w:adjustRightInd w:val="0"/>
        <w:snapToGrid w:val="0"/>
        <w:spacing w:line="360" w:lineRule="auto"/>
        <w:ind w:firstLine="480" w:firstLineChars="200"/>
        <w:jc w:val="left"/>
        <w:rPr>
          <w:rFonts w:ascii="宋体" w:hAnsi="宋体"/>
          <w:color w:val="auto"/>
          <w:sz w:val="24"/>
        </w:rPr>
      </w:pPr>
    </w:p>
    <w:p>
      <w:pPr>
        <w:adjustRightInd w:val="0"/>
        <w:snapToGrid w:val="0"/>
        <w:spacing w:line="360" w:lineRule="auto"/>
        <w:jc w:val="left"/>
        <w:rPr>
          <w:rFonts w:ascii="黑体" w:hAnsi="黑体" w:eastAsia="黑体"/>
          <w:color w:val="auto"/>
          <w:sz w:val="28"/>
          <w:szCs w:val="28"/>
        </w:rPr>
      </w:pPr>
      <w:r>
        <w:rPr>
          <w:rFonts w:hint="eastAsia" w:ascii="黑体" w:hAnsi="黑体" w:eastAsia="黑体"/>
          <w:b/>
          <w:color w:val="auto"/>
          <w:sz w:val="28"/>
          <w:szCs w:val="28"/>
        </w:rPr>
        <w:t>六、项目内容及需求：</w:t>
      </w:r>
    </w:p>
    <w:p>
      <w:pPr>
        <w:adjustRightInd w:val="0"/>
        <w:snapToGrid w:val="0"/>
        <w:spacing w:line="360" w:lineRule="auto"/>
        <w:ind w:firstLine="480" w:firstLineChars="200"/>
        <w:jc w:val="left"/>
        <w:rPr>
          <w:rFonts w:ascii="宋体"/>
          <w:color w:val="auto"/>
          <w:sz w:val="24"/>
        </w:rPr>
      </w:pPr>
      <w:r>
        <w:rPr>
          <w:rFonts w:ascii="宋体" w:hAnsi="宋体"/>
          <w:color w:val="auto"/>
          <w:sz w:val="24"/>
        </w:rPr>
        <w:t xml:space="preserve">1. </w:t>
      </w:r>
      <w:r>
        <w:rPr>
          <w:rFonts w:hint="eastAsia" w:ascii="宋体" w:hAnsi="宋体"/>
          <w:color w:val="auto"/>
          <w:sz w:val="24"/>
        </w:rPr>
        <w:t>采购内容</w:t>
      </w:r>
    </w:p>
    <w:tbl>
      <w:tblPr>
        <w:tblStyle w:val="8"/>
        <w:tblW w:w="4998"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820"/>
        <w:gridCol w:w="2995"/>
        <w:gridCol w:w="2115"/>
        <w:gridCol w:w="1125"/>
        <w:gridCol w:w="146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2" w:hRule="atLeast"/>
          <w:jc w:val="center"/>
        </w:trPr>
        <w:tc>
          <w:tcPr>
            <w:tcW w:w="481" w:type="pct"/>
            <w:tcBorders>
              <w:bottom w:val="single" w:color="000000" w:sz="4" w:space="0"/>
              <w:right w:val="single" w:color="000000" w:sz="4" w:space="0"/>
            </w:tcBorders>
            <w:shd w:val="clear" w:color="auto" w:fill="D7D7D7"/>
            <w:noWrap w:val="0"/>
            <w:tcMar>
              <w:top w:w="0" w:type="dxa"/>
              <w:left w:w="108" w:type="dxa"/>
              <w:bottom w:w="0" w:type="dxa"/>
              <w:right w:w="108" w:type="dxa"/>
            </w:tcMar>
            <w:vAlign w:val="center"/>
          </w:tcPr>
          <w:p>
            <w:pPr>
              <w:spacing w:line="360" w:lineRule="auto"/>
              <w:jc w:val="center"/>
              <w:rPr>
                <w:rFonts w:hint="eastAsia" w:ascii="宋体"/>
                <w:b/>
                <w:color w:val="auto"/>
                <w:sz w:val="24"/>
              </w:rPr>
            </w:pPr>
            <w:r>
              <w:rPr>
                <w:rFonts w:hint="eastAsia" w:ascii="宋体"/>
                <w:b/>
                <w:color w:val="auto"/>
                <w:sz w:val="24"/>
              </w:rPr>
              <w:t>包号</w:t>
            </w:r>
          </w:p>
        </w:tc>
        <w:tc>
          <w:tcPr>
            <w:tcW w:w="1757" w:type="pct"/>
            <w:tcBorders>
              <w:left w:val="single" w:color="000000" w:sz="4" w:space="0"/>
              <w:bottom w:val="single" w:color="000000" w:sz="4" w:space="0"/>
              <w:right w:val="single" w:color="000000" w:sz="4" w:space="0"/>
            </w:tcBorders>
            <w:shd w:val="clear" w:color="auto" w:fill="D7D7D7"/>
            <w:noWrap w:val="0"/>
            <w:tcMar>
              <w:top w:w="0" w:type="dxa"/>
              <w:left w:w="108" w:type="dxa"/>
              <w:bottom w:w="0" w:type="dxa"/>
              <w:right w:w="108" w:type="dxa"/>
            </w:tcMar>
            <w:vAlign w:val="center"/>
          </w:tcPr>
          <w:p>
            <w:pPr>
              <w:spacing w:line="360" w:lineRule="auto"/>
              <w:jc w:val="center"/>
              <w:rPr>
                <w:rFonts w:hint="eastAsia" w:ascii="宋体"/>
                <w:b/>
                <w:color w:val="auto"/>
                <w:sz w:val="24"/>
              </w:rPr>
            </w:pPr>
            <w:r>
              <w:rPr>
                <w:rFonts w:hint="eastAsia" w:ascii="宋体"/>
                <w:b/>
                <w:color w:val="auto"/>
                <w:sz w:val="24"/>
              </w:rPr>
              <w:t>包组内容</w:t>
            </w:r>
          </w:p>
        </w:tc>
        <w:tc>
          <w:tcPr>
            <w:tcW w:w="1241" w:type="pct"/>
            <w:tcBorders>
              <w:left w:val="single" w:color="000000" w:sz="4" w:space="0"/>
              <w:bottom w:val="single" w:color="000000" w:sz="4" w:space="0"/>
              <w:right w:val="single" w:color="000000" w:sz="4" w:space="0"/>
            </w:tcBorders>
            <w:shd w:val="clear" w:color="auto" w:fill="D7D7D7"/>
            <w:noWrap w:val="0"/>
            <w:tcMar>
              <w:top w:w="0" w:type="dxa"/>
              <w:left w:w="108" w:type="dxa"/>
              <w:bottom w:w="0" w:type="dxa"/>
              <w:right w:w="108" w:type="dxa"/>
            </w:tcMar>
            <w:vAlign w:val="center"/>
          </w:tcPr>
          <w:p>
            <w:pPr>
              <w:spacing w:line="360" w:lineRule="auto"/>
              <w:jc w:val="center"/>
              <w:rPr>
                <w:rFonts w:hint="eastAsia" w:ascii="宋体"/>
                <w:b/>
                <w:color w:val="auto"/>
                <w:sz w:val="24"/>
              </w:rPr>
            </w:pPr>
            <w:r>
              <w:rPr>
                <w:rFonts w:hint="eastAsia" w:ascii="宋体"/>
                <w:b/>
                <w:color w:val="auto"/>
                <w:sz w:val="24"/>
              </w:rPr>
              <w:t>交货期</w:t>
            </w:r>
          </w:p>
        </w:tc>
        <w:tc>
          <w:tcPr>
            <w:tcW w:w="660" w:type="pct"/>
            <w:tcBorders>
              <w:left w:val="single" w:color="000000" w:sz="4" w:space="0"/>
              <w:bottom w:val="single" w:color="000000" w:sz="4" w:space="0"/>
              <w:right w:val="single" w:color="000000" w:sz="4" w:space="0"/>
            </w:tcBorders>
            <w:shd w:val="clear" w:color="auto" w:fill="D7D7D7"/>
            <w:noWrap w:val="0"/>
            <w:vAlign w:val="center"/>
          </w:tcPr>
          <w:p>
            <w:pPr>
              <w:spacing w:line="360" w:lineRule="auto"/>
              <w:jc w:val="center"/>
              <w:rPr>
                <w:rFonts w:hint="eastAsia" w:ascii="宋体"/>
                <w:b/>
                <w:color w:val="auto"/>
                <w:sz w:val="24"/>
              </w:rPr>
            </w:pPr>
            <w:r>
              <w:rPr>
                <w:rFonts w:hint="eastAsia" w:ascii="宋体"/>
                <w:b/>
                <w:color w:val="auto"/>
                <w:sz w:val="24"/>
              </w:rPr>
              <w:t>类型</w:t>
            </w:r>
          </w:p>
        </w:tc>
        <w:tc>
          <w:tcPr>
            <w:tcW w:w="859" w:type="pct"/>
            <w:tcBorders>
              <w:left w:val="single" w:color="000000" w:sz="4" w:space="0"/>
              <w:bottom w:val="single" w:color="000000" w:sz="4" w:space="0"/>
            </w:tcBorders>
            <w:shd w:val="clear" w:color="auto" w:fill="D7D7D7"/>
            <w:noWrap w:val="0"/>
            <w:tcMar>
              <w:top w:w="0" w:type="dxa"/>
              <w:left w:w="108" w:type="dxa"/>
              <w:bottom w:w="0" w:type="dxa"/>
              <w:right w:w="108" w:type="dxa"/>
            </w:tcMar>
            <w:vAlign w:val="center"/>
          </w:tcPr>
          <w:p>
            <w:pPr>
              <w:spacing w:line="360" w:lineRule="auto"/>
              <w:jc w:val="center"/>
              <w:rPr>
                <w:rFonts w:hint="eastAsia" w:ascii="宋体"/>
                <w:b/>
                <w:color w:val="auto"/>
                <w:sz w:val="24"/>
              </w:rPr>
            </w:pPr>
            <w:r>
              <w:rPr>
                <w:rFonts w:hint="eastAsia" w:ascii="宋体"/>
                <w:b/>
                <w:color w:val="auto"/>
                <w:sz w:val="24"/>
              </w:rPr>
              <w:t>最高限价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76" w:hRule="atLeast"/>
          <w:jc w:val="center"/>
        </w:trPr>
        <w:tc>
          <w:tcPr>
            <w:tcW w:w="481" w:type="pct"/>
            <w:tcBorders>
              <w:top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ascii="宋体"/>
                <w:color w:val="auto"/>
                <w:szCs w:val="21"/>
              </w:rPr>
            </w:pPr>
            <w:r>
              <w:rPr>
                <w:rFonts w:hint="eastAsia" w:ascii="宋体"/>
                <w:color w:val="auto"/>
                <w:szCs w:val="21"/>
              </w:rPr>
              <w:t>包一</w:t>
            </w:r>
          </w:p>
        </w:tc>
        <w:tc>
          <w:tcPr>
            <w:tcW w:w="1757" w:type="pc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ascii="宋体"/>
                <w:color w:val="auto"/>
                <w:szCs w:val="21"/>
              </w:rPr>
            </w:pPr>
            <w:r>
              <w:rPr>
                <w:rFonts w:hint="eastAsia" w:ascii="宋体"/>
                <w:color w:val="auto"/>
                <w:szCs w:val="21"/>
              </w:rPr>
              <w:t>南方医科大学口腔医院（广东省口腔医院）HIS与医疗收费电子票据系统对接</w:t>
            </w:r>
          </w:p>
        </w:tc>
        <w:tc>
          <w:tcPr>
            <w:tcW w:w="1241" w:type="pc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ascii="宋体"/>
                <w:color w:val="auto"/>
                <w:szCs w:val="21"/>
              </w:rPr>
            </w:pPr>
            <w:r>
              <w:rPr>
                <w:rFonts w:hint="eastAsia" w:ascii="宋体"/>
                <w:color w:val="auto"/>
                <w:szCs w:val="21"/>
              </w:rPr>
              <w:t>合同签订之日起20个日历日内系统上线，30个日历日内系统达到验收标准。</w:t>
            </w:r>
          </w:p>
        </w:tc>
        <w:tc>
          <w:tcPr>
            <w:tcW w:w="660" w:type="pc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color w:val="auto"/>
                <w:szCs w:val="21"/>
              </w:rPr>
            </w:pPr>
            <w:r>
              <w:rPr>
                <w:rFonts w:hint="eastAsia" w:ascii="宋体"/>
                <w:color w:val="auto"/>
                <w:szCs w:val="21"/>
              </w:rPr>
              <w:t>货物</w:t>
            </w:r>
          </w:p>
        </w:tc>
        <w:tc>
          <w:tcPr>
            <w:tcW w:w="859" w:type="pct"/>
            <w:tcBorders>
              <w:top w:val="single" w:color="auto" w:sz="4" w:space="0"/>
              <w:left w:val="single" w:color="auto" w:sz="4" w:space="0"/>
            </w:tcBorders>
            <w:noWrap w:val="0"/>
            <w:tcMar>
              <w:top w:w="0" w:type="dxa"/>
              <w:left w:w="108" w:type="dxa"/>
              <w:bottom w:w="0" w:type="dxa"/>
              <w:right w:w="108" w:type="dxa"/>
            </w:tcMar>
            <w:vAlign w:val="center"/>
          </w:tcPr>
          <w:p>
            <w:pPr>
              <w:spacing w:line="360" w:lineRule="auto"/>
              <w:jc w:val="center"/>
              <w:rPr>
                <w:rFonts w:ascii="宋体"/>
                <w:color w:val="auto"/>
                <w:szCs w:val="21"/>
              </w:rPr>
            </w:pPr>
            <w:r>
              <w:rPr>
                <w:rFonts w:hint="eastAsia" w:ascii="宋体"/>
                <w:color w:val="auto"/>
                <w:szCs w:val="21"/>
              </w:rPr>
              <w:t>54万元</w:t>
            </w:r>
          </w:p>
        </w:tc>
      </w:tr>
    </w:tbl>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2.供应商必须对包组内所有内容进行响应，不允许只对包组内的部分内容进行响应。</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3.交货期：合同签订之日起20个日历日内系统上线，30个日历日内系统达到验收标准。</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4.交货地点：广州市海珠区江南大道南366号。</w:t>
      </w:r>
    </w:p>
    <w:p>
      <w:pPr>
        <w:pStyle w:val="18"/>
        <w:rPr>
          <w:color w:val="auto"/>
        </w:rPr>
      </w:pPr>
    </w:p>
    <w:p>
      <w:pPr>
        <w:adjustRightInd w:val="0"/>
        <w:snapToGrid w:val="0"/>
        <w:spacing w:line="360" w:lineRule="auto"/>
        <w:jc w:val="left"/>
        <w:rPr>
          <w:rFonts w:ascii="黑体" w:hAnsi="黑体" w:eastAsia="黑体"/>
          <w:color w:val="auto"/>
          <w:sz w:val="28"/>
          <w:szCs w:val="28"/>
        </w:rPr>
      </w:pPr>
      <w:r>
        <w:rPr>
          <w:rFonts w:hint="eastAsia" w:ascii="黑体" w:hAnsi="黑体" w:eastAsia="黑体"/>
          <w:b/>
          <w:color w:val="auto"/>
          <w:sz w:val="28"/>
          <w:szCs w:val="28"/>
        </w:rPr>
        <w:t>七、供应商资格要求</w:t>
      </w:r>
    </w:p>
    <w:p>
      <w:pPr>
        <w:adjustRightInd w:val="0"/>
        <w:snapToGrid w:val="0"/>
        <w:spacing w:line="360" w:lineRule="auto"/>
        <w:ind w:firstLine="480" w:firstLineChars="200"/>
        <w:jc w:val="left"/>
        <w:rPr>
          <w:rFonts w:ascii="宋体" w:hAnsi="宋体"/>
          <w:color w:val="auto"/>
          <w:sz w:val="24"/>
        </w:rPr>
      </w:pPr>
      <w:r>
        <w:rPr>
          <w:rFonts w:ascii="宋体" w:hAnsi="宋体"/>
          <w:color w:val="auto"/>
          <w:sz w:val="24"/>
        </w:rPr>
        <w:t>1.</w:t>
      </w:r>
      <w:r>
        <w:rPr>
          <w:rFonts w:hint="eastAsia" w:ascii="宋体" w:hAnsi="宋体"/>
          <w:color w:val="auto"/>
          <w:sz w:val="24"/>
        </w:rPr>
        <w:t>具备《中华人民共和国政府采购法》第二十二条资格条件；</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1)提供在中华人民共和国境内注册的营业执照（或事业单位法人证书，或社会团体法人登记证书，或执业许可证）、如非“多证合一”证照，同时提供组织机构代码证和税务登记证复印件；如投标人为自然人的需提供自然人身份证明；</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（2）提供2018年或2019年的年度财务状况报告复印件，或2020年任意1个月的财务状况报告复印件；或银行出具的资信证明材料复印件；</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（3）提供2020年任意一个月的依法缴纳税收的证明（纳税凭证）复印件，如依法免税的，应提供相应文件证明其依法免税；</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（4）提供2020年任意一个月的依法缴纳社会保险的证明（缴费凭证）复印件，如依法不需要缴纳社会保障资金的，应提供相应文件证明其依法不需要缴纳社会保障资金；</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（5）提供履行合同所必需的设备和专业技术能力的书面声明；</w:t>
      </w: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（6）提供参加政府采购活动前3年内在经营活动中没有重大违法记录的书面声明。</w:t>
      </w:r>
    </w:p>
    <w:p>
      <w:pPr>
        <w:adjustRightInd w:val="0"/>
        <w:snapToGrid w:val="0"/>
        <w:spacing w:line="360" w:lineRule="auto"/>
        <w:ind w:left="1" w:firstLine="480" w:firstLineChars="200"/>
        <w:jc w:val="left"/>
        <w:rPr>
          <w:rFonts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在“信用中国”网站（</w:t>
      </w:r>
      <w:r>
        <w:rPr>
          <w:rFonts w:ascii="宋体" w:hAnsi="宋体"/>
          <w:color w:val="auto"/>
          <w:sz w:val="24"/>
        </w:rPr>
        <w:t>www.creditchina.gov.cn</w:t>
      </w:r>
      <w:r>
        <w:rPr>
          <w:rFonts w:hint="eastAsia" w:ascii="宋体" w:hAnsi="宋体"/>
          <w:color w:val="auto"/>
          <w:sz w:val="24"/>
        </w:rPr>
        <w:t>）、中国政府采购网（</w:t>
      </w:r>
      <w:r>
        <w:rPr>
          <w:rFonts w:ascii="宋体" w:hAnsi="宋体"/>
          <w:color w:val="auto"/>
          <w:sz w:val="24"/>
        </w:rPr>
        <w:t>www.ccgp.gov.cn</w:t>
      </w:r>
      <w:r>
        <w:rPr>
          <w:rFonts w:hint="eastAsia" w:ascii="宋体" w:hAnsi="宋体"/>
          <w:color w:val="auto"/>
          <w:sz w:val="24"/>
        </w:rPr>
        <w:t>）没有被列入失信被执行人、重大税收违法案件当事人名单、政府采购严重违法失信行为记录名单及其他不符合规定条件的供应商；</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3.单位负责人为同一人或者存在直接控股、管理关系的不同供应商，不得参加同一合同项下的政府采购活动；</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4.为采购项目提供整体设计、规范编制或者项目管理、监理、检测等服务的供应商，不得再参加该采购项目的其他采购活动；</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5. 本项目不接受联合体投标。</w:t>
      </w:r>
    </w:p>
    <w:p>
      <w:pPr>
        <w:pStyle w:val="5"/>
        <w:ind w:firstLine="0"/>
        <w:rPr>
          <w:color w:val="auto"/>
        </w:rPr>
      </w:pPr>
    </w:p>
    <w:p>
      <w:pPr>
        <w:adjustRightInd w:val="0"/>
        <w:snapToGrid w:val="0"/>
        <w:spacing w:line="360" w:lineRule="auto"/>
        <w:jc w:val="left"/>
        <w:rPr>
          <w:rFonts w:ascii="黑体" w:hAnsi="黑体" w:eastAsia="黑体"/>
          <w:b/>
          <w:color w:val="auto"/>
          <w:sz w:val="28"/>
          <w:szCs w:val="28"/>
        </w:rPr>
      </w:pPr>
      <w:r>
        <w:rPr>
          <w:rFonts w:hint="eastAsia" w:ascii="黑体" w:hAnsi="黑体" w:eastAsia="黑体"/>
          <w:b/>
          <w:color w:val="auto"/>
          <w:sz w:val="28"/>
          <w:szCs w:val="28"/>
        </w:rPr>
        <w:t>八、招标文件的获取</w:t>
      </w: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符合资格的供应商应当在2020年</w:t>
      </w:r>
      <w:r>
        <w:rPr>
          <w:rFonts w:hint="eastAsia" w:ascii="宋体" w:hAnsi="宋体"/>
          <w:color w:val="auto"/>
          <w:sz w:val="24"/>
          <w:u w:val="single"/>
          <w:lang w:val="en-US" w:eastAsia="zh-CN"/>
        </w:rPr>
        <w:t>12</w:t>
      </w:r>
      <w:r>
        <w:rPr>
          <w:rFonts w:hint="eastAsia" w:ascii="宋体" w:hAnsi="宋体"/>
          <w:color w:val="auto"/>
          <w:sz w:val="24"/>
        </w:rPr>
        <w:t>月</w:t>
      </w:r>
      <w:r>
        <w:rPr>
          <w:rFonts w:hint="eastAsia" w:ascii="宋体" w:hAnsi="宋体"/>
          <w:color w:val="auto"/>
          <w:sz w:val="24"/>
          <w:u w:val="single"/>
          <w:lang w:val="en-US" w:eastAsia="zh-CN"/>
        </w:rPr>
        <w:t>4</w:t>
      </w:r>
      <w:r>
        <w:rPr>
          <w:rFonts w:hint="eastAsia" w:ascii="宋体" w:hAnsi="宋体"/>
          <w:color w:val="auto"/>
          <w:sz w:val="24"/>
        </w:rPr>
        <w:t>日至2020年</w:t>
      </w:r>
      <w:r>
        <w:rPr>
          <w:rFonts w:hint="eastAsia" w:ascii="宋体" w:hAnsi="宋体"/>
          <w:color w:val="auto"/>
          <w:sz w:val="24"/>
          <w:u w:val="single"/>
          <w:lang w:val="en-US" w:eastAsia="zh-CN"/>
        </w:rPr>
        <w:t>12</w:t>
      </w:r>
      <w:r>
        <w:rPr>
          <w:rFonts w:hint="eastAsia" w:ascii="宋体" w:hAnsi="宋体"/>
          <w:color w:val="auto"/>
          <w:sz w:val="24"/>
        </w:rPr>
        <w:t>月</w:t>
      </w:r>
      <w:r>
        <w:rPr>
          <w:rFonts w:hint="eastAsia" w:ascii="宋体" w:hAnsi="宋体"/>
          <w:color w:val="auto"/>
          <w:sz w:val="24"/>
          <w:u w:val="single"/>
          <w:lang w:val="en-US" w:eastAsia="zh-CN"/>
        </w:rPr>
        <w:t>14</w:t>
      </w:r>
      <w:r>
        <w:rPr>
          <w:rFonts w:hint="eastAsia" w:ascii="宋体" w:hAnsi="宋体"/>
          <w:color w:val="auto"/>
          <w:sz w:val="24"/>
        </w:rPr>
        <w:t>日期间获取招标文件。</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1、方式一：</w:t>
      </w:r>
    </w:p>
    <w:p>
      <w:pPr>
        <w:tabs>
          <w:tab w:val="left" w:pos="540"/>
          <w:tab w:val="left" w:pos="900"/>
        </w:tabs>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供应商可登陆广东华鑫招标采购有限公司官网（http://www.gdhuaxin.cn/），在左下角“系统入口”点击登录，在“中招联合平台”注册成功后登录搜索本项目名称，选择对应项目点击“我要参与”进行登记，并按照以下要求提供登记资料，资料提交后请与招标代理机构联系，联系电话详见招标代理机构联系方式（注：通过“中招平台”获取招标文件的供应商，可通过平台在线申请电子投标保函），具体事项如下：</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（1）供应商在“中招平台”上填写“购标申请”，并上传以下登记资料：</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获取招标文件时，须上传以下加盖电子签章的证明文件：</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①法定代表人证明书或法定代表人授权委托书、身份证明复印件；提供法定代表人授权委托书的，需附法定代表人证明书。</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②提供在中华人民共和国境内注册的营业执照（或事业单位法人证书，或社会团体法人登记证书，或执业许可证）、如非“多证合一”证照，同时提供组织机构代码证和税务登记证复印件；如投标人为自然人的需提供自然人身份证明；分公司投标的，需提供具有法人资格的总公司的营业执照副本复印件及授权书。总公司可就本项目或此类项目在一定范围或时间内出具授权书。已由总公司授权的，总公司取得的相关资质证书对分公司有效，法律法规或者行业另有规定的除外；</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③登录广东华鑫招标采购有限公司官（http://www.gdhuaxin.cn/）下载《招标文件购买登记表》按要求填写好相关内容；</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2）招标文件每套售价人民币300元整（招标文件费发票由我司开具，纸质发票可邮寄），“中招平台”的平台使用费由平台收取（平台服务费发票由“中招平台”开具，供应商在支付成功后3日内通过平台“发票管理”模块自行下载），供应商缴纳费用成功后即可在线下载招标文件；</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3）供应商可在“中招平台”网站的首页“帮助中心”内下载操作手册，并根据操作手册的提示进行注册、登录、购标、发票开具等操作。“中招平台”技术咨询电话：010-86397110（服务时间为工作日的上午9:00至12:00，下午1:30到5:00）。</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 xml:space="preserve">方式二： </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（1）供应商可前往广东华鑫招标采购有限公司进行现场登记，现场填写购买文件登记表，并携带以下资料且加盖公章前来购买招标文件：</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以下加盖电子签章的证明文件：</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（1）法定代表人证明书或法定代表人授权委托书、身份证明复印件；提供法定代表人授权委托书的，需附法定代表人证明书。</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2）提供在中华人民共和国境内注册的营业执照（或事业单位法人证书，或社会团体法人登记证书，或执业许可证）、如非“多证合一”证照，同时提供组织机构代码证和税务登记证复印件；如投标人为自然人的需提供自然人身份证明；分公司投标的，需提供具有法人资格的总公司的营业执照副本复印件及授权书。总公司可就本项目或此类项目在一定范围或时间内出具授权书。已由总公司授权的，总公司取得的相关资质证书对分公司有效，法律法规或者行业另有规定的除外；</w:t>
      </w:r>
    </w:p>
    <w:p>
      <w:pPr>
        <w:tabs>
          <w:tab w:val="left" w:pos="540"/>
          <w:tab w:val="left" w:pos="900"/>
        </w:tabs>
        <w:snapToGrid w:val="0"/>
        <w:spacing w:line="360" w:lineRule="auto"/>
        <w:ind w:firstLine="480" w:firstLineChars="200"/>
        <w:rPr>
          <w:rFonts w:hint="eastAsia" w:ascii="宋体" w:hAnsi="宋体"/>
          <w:color w:val="auto"/>
          <w:sz w:val="24"/>
        </w:rPr>
      </w:pPr>
      <w:r>
        <w:rPr>
          <w:rFonts w:hint="eastAsia" w:ascii="宋体" w:hAnsi="宋体"/>
          <w:color w:val="auto"/>
          <w:sz w:val="24"/>
        </w:rPr>
        <w:t>（3）现场登记时间为工作日的上午9：00-12：00，下午14：30-17：30（法定节假日除外）。</w:t>
      </w:r>
    </w:p>
    <w:p>
      <w:pPr>
        <w:tabs>
          <w:tab w:val="left" w:pos="540"/>
          <w:tab w:val="left" w:pos="900"/>
        </w:tabs>
        <w:snapToGrid w:val="0"/>
        <w:spacing w:line="360" w:lineRule="auto"/>
        <w:ind w:firstLine="480" w:firstLineChars="200"/>
        <w:rPr>
          <w:rFonts w:ascii="宋体" w:hAnsi="宋体"/>
          <w:color w:val="auto"/>
          <w:sz w:val="24"/>
        </w:rPr>
      </w:pPr>
      <w:r>
        <w:rPr>
          <w:rFonts w:hint="eastAsia" w:ascii="宋体" w:hAnsi="宋体"/>
          <w:color w:val="auto"/>
          <w:sz w:val="24"/>
        </w:rPr>
        <w:t>（4）招标文件每套售价人民币300元整（售后不退）。</w:t>
      </w:r>
    </w:p>
    <w:p>
      <w:pPr>
        <w:pStyle w:val="5"/>
        <w:ind w:firstLine="0"/>
        <w:rPr>
          <w:rFonts w:ascii="宋体" w:hAnsi="宋体"/>
          <w:color w:val="auto"/>
          <w:sz w:val="24"/>
        </w:rPr>
      </w:pPr>
    </w:p>
    <w:p>
      <w:pPr>
        <w:adjustRightInd w:val="0"/>
        <w:snapToGrid w:val="0"/>
        <w:spacing w:line="360" w:lineRule="auto"/>
        <w:jc w:val="left"/>
        <w:rPr>
          <w:rFonts w:ascii="黑体" w:hAnsi="黑体" w:eastAsia="黑体"/>
          <w:b/>
          <w:color w:val="auto"/>
          <w:sz w:val="28"/>
          <w:szCs w:val="28"/>
        </w:rPr>
      </w:pPr>
      <w:r>
        <w:rPr>
          <w:rFonts w:hint="eastAsia" w:ascii="黑体" w:hAnsi="黑体" w:eastAsia="黑体"/>
          <w:b/>
          <w:color w:val="auto"/>
          <w:sz w:val="28"/>
          <w:szCs w:val="28"/>
        </w:rPr>
        <w:t>九、现场考察及答疑会</w:t>
      </w:r>
    </w:p>
    <w:p>
      <w:pPr>
        <w:adjustRightInd w:val="0"/>
        <w:snapToGrid w:val="0"/>
        <w:spacing w:line="360" w:lineRule="auto"/>
        <w:ind w:firstLine="480" w:firstLineChars="200"/>
        <w:jc w:val="left"/>
        <w:rPr>
          <w:rFonts w:ascii="宋体" w:cs="宋体"/>
          <w:color w:val="auto"/>
          <w:sz w:val="24"/>
          <w:szCs w:val="22"/>
        </w:rPr>
      </w:pPr>
      <w:r>
        <w:rPr>
          <w:rFonts w:ascii="宋体" w:hAnsi="宋体" w:cs="宋体"/>
          <w:color w:val="auto"/>
          <w:sz w:val="24"/>
          <w:szCs w:val="22"/>
        </w:rPr>
        <w:t xml:space="preserve">1. </w:t>
      </w:r>
      <w:r>
        <w:rPr>
          <w:rFonts w:hint="eastAsia" w:ascii="宋体" w:hAnsi="宋体" w:cs="宋体"/>
          <w:color w:val="auto"/>
          <w:sz w:val="24"/>
          <w:szCs w:val="22"/>
        </w:rPr>
        <w:t>本项目不组织现场考察；</w:t>
      </w:r>
    </w:p>
    <w:p>
      <w:pPr>
        <w:adjustRightInd w:val="0"/>
        <w:snapToGrid w:val="0"/>
        <w:spacing w:line="360" w:lineRule="auto"/>
        <w:ind w:firstLine="480" w:firstLineChars="200"/>
        <w:jc w:val="left"/>
        <w:rPr>
          <w:rFonts w:ascii="宋体" w:hAnsi="宋体"/>
          <w:color w:val="auto"/>
          <w:sz w:val="24"/>
        </w:rPr>
      </w:pPr>
      <w:r>
        <w:rPr>
          <w:rFonts w:ascii="宋体" w:hAnsi="宋体" w:cs="宋体"/>
          <w:color w:val="auto"/>
          <w:sz w:val="24"/>
          <w:szCs w:val="22"/>
        </w:rPr>
        <w:t xml:space="preserve">2. </w:t>
      </w:r>
      <w:r>
        <w:rPr>
          <w:rFonts w:hint="eastAsia" w:ascii="宋体" w:hAnsi="宋体"/>
          <w:color w:val="auto"/>
          <w:sz w:val="24"/>
        </w:rPr>
        <w:t>本项目不举行集中答疑会。</w:t>
      </w:r>
    </w:p>
    <w:p>
      <w:pPr>
        <w:adjustRightInd w:val="0"/>
        <w:snapToGrid w:val="0"/>
        <w:spacing w:line="360" w:lineRule="auto"/>
        <w:ind w:firstLine="480" w:firstLineChars="200"/>
        <w:jc w:val="left"/>
        <w:rPr>
          <w:rFonts w:ascii="宋体" w:hAnsi="宋体"/>
          <w:color w:val="auto"/>
          <w:sz w:val="24"/>
        </w:rPr>
      </w:pPr>
    </w:p>
    <w:p>
      <w:pPr>
        <w:adjustRightInd w:val="0"/>
        <w:snapToGrid w:val="0"/>
        <w:spacing w:line="360" w:lineRule="auto"/>
        <w:jc w:val="left"/>
        <w:rPr>
          <w:rFonts w:ascii="宋体" w:hAnsi="宋体"/>
          <w:bCs/>
          <w:color w:val="auto"/>
          <w:sz w:val="24"/>
        </w:rPr>
      </w:pPr>
      <w:r>
        <w:rPr>
          <w:rFonts w:hint="eastAsia" w:ascii="黑体" w:hAnsi="黑体" w:eastAsia="黑体"/>
          <w:b/>
          <w:color w:val="auto"/>
          <w:sz w:val="28"/>
          <w:szCs w:val="28"/>
        </w:rPr>
        <w:t>十、提交响应文件时间：</w:t>
      </w:r>
      <w:r>
        <w:rPr>
          <w:rFonts w:hint="eastAsia" w:ascii="宋体" w:hAnsi="宋体" w:eastAsia="黑体"/>
          <w:bCs/>
          <w:color w:val="auto"/>
          <w:sz w:val="24"/>
        </w:rPr>
        <w:t>2020年</w:t>
      </w:r>
      <w:r>
        <w:rPr>
          <w:rFonts w:hint="eastAsia" w:ascii="宋体" w:hAnsi="宋体" w:eastAsia="黑体"/>
          <w:bCs/>
          <w:color w:val="auto"/>
          <w:sz w:val="24"/>
          <w:lang w:val="en-US" w:eastAsia="zh-CN"/>
        </w:rPr>
        <w:t>12</w:t>
      </w:r>
      <w:r>
        <w:rPr>
          <w:rFonts w:hint="eastAsia" w:ascii="宋体" w:hAnsi="宋体"/>
          <w:bCs/>
          <w:color w:val="auto"/>
          <w:sz w:val="24"/>
        </w:rPr>
        <w:t>月</w:t>
      </w:r>
      <w:r>
        <w:rPr>
          <w:rFonts w:hint="eastAsia" w:ascii="宋体" w:hAnsi="宋体"/>
          <w:bCs/>
          <w:color w:val="auto"/>
          <w:sz w:val="24"/>
          <w:lang w:val="en-US" w:eastAsia="zh-CN"/>
        </w:rPr>
        <w:t>15</w:t>
      </w:r>
      <w:r>
        <w:rPr>
          <w:rFonts w:hint="eastAsia" w:ascii="宋体" w:hAnsi="宋体"/>
          <w:bCs/>
          <w:color w:val="auto"/>
          <w:sz w:val="24"/>
        </w:rPr>
        <w:t>日</w:t>
      </w:r>
      <w:r>
        <w:rPr>
          <w:rFonts w:hint="eastAsia" w:ascii="宋体" w:hAnsi="宋体"/>
          <w:bCs/>
          <w:color w:val="auto"/>
          <w:sz w:val="24"/>
          <w:lang w:val="en-US" w:eastAsia="zh-CN"/>
        </w:rPr>
        <w:t>9</w:t>
      </w:r>
      <w:r>
        <w:rPr>
          <w:rFonts w:hint="eastAsia" w:ascii="宋体" w:hAnsi="宋体"/>
          <w:bCs/>
          <w:color w:val="auto"/>
          <w:sz w:val="24"/>
        </w:rPr>
        <w:t>：</w:t>
      </w:r>
      <w:r>
        <w:rPr>
          <w:rFonts w:hint="eastAsia" w:ascii="宋体" w:hAnsi="宋体"/>
          <w:bCs/>
          <w:color w:val="auto"/>
          <w:sz w:val="24"/>
          <w:lang w:val="en-US" w:eastAsia="zh-CN"/>
        </w:rPr>
        <w:t>30</w:t>
      </w:r>
      <w:r>
        <w:rPr>
          <w:rFonts w:hint="eastAsia" w:ascii="宋体" w:hAnsi="宋体"/>
          <w:bCs/>
          <w:color w:val="auto"/>
          <w:sz w:val="24"/>
        </w:rPr>
        <w:t>至2020年</w:t>
      </w:r>
      <w:r>
        <w:rPr>
          <w:rFonts w:hint="eastAsia" w:ascii="宋体" w:hAnsi="宋体" w:cs="宋体"/>
          <w:bCs/>
          <w:color w:val="auto"/>
          <w:sz w:val="24"/>
          <w:lang w:val="en-US" w:eastAsia="zh-CN"/>
        </w:rPr>
        <w:t>12</w:t>
      </w:r>
      <w:r>
        <w:rPr>
          <w:rFonts w:hint="eastAsia" w:ascii="宋体" w:hAnsi="宋体" w:cs="宋体"/>
          <w:bCs/>
          <w:color w:val="auto"/>
          <w:sz w:val="24"/>
        </w:rPr>
        <w:t>月</w:t>
      </w:r>
      <w:r>
        <w:rPr>
          <w:rFonts w:hint="eastAsia" w:ascii="宋体" w:hAnsi="宋体" w:cs="宋体"/>
          <w:bCs/>
          <w:color w:val="auto"/>
          <w:sz w:val="24"/>
          <w:lang w:val="en-US" w:eastAsia="zh-CN"/>
        </w:rPr>
        <w:t>15</w:t>
      </w:r>
      <w:r>
        <w:rPr>
          <w:rFonts w:hint="eastAsia" w:ascii="宋体" w:hAnsi="宋体"/>
          <w:bCs/>
          <w:color w:val="auto"/>
          <w:sz w:val="24"/>
        </w:rPr>
        <w:t>日</w:t>
      </w:r>
      <w:r>
        <w:rPr>
          <w:rFonts w:hint="eastAsia" w:ascii="宋体" w:hAnsi="宋体"/>
          <w:bCs/>
          <w:color w:val="auto"/>
          <w:sz w:val="24"/>
          <w:lang w:val="en-US" w:eastAsia="zh-CN"/>
        </w:rPr>
        <w:t>10</w:t>
      </w:r>
      <w:r>
        <w:rPr>
          <w:rFonts w:hint="eastAsia" w:ascii="宋体" w:hAnsi="宋体"/>
          <w:bCs/>
          <w:color w:val="auto"/>
          <w:sz w:val="24"/>
        </w:rPr>
        <w:t>：</w:t>
      </w:r>
      <w:r>
        <w:rPr>
          <w:rFonts w:hint="eastAsia" w:ascii="宋体" w:hAnsi="宋体"/>
          <w:bCs/>
          <w:color w:val="auto"/>
          <w:sz w:val="24"/>
          <w:lang w:val="en-US" w:eastAsia="zh-CN"/>
        </w:rPr>
        <w:t>00</w:t>
      </w:r>
      <w:r>
        <w:rPr>
          <w:rFonts w:ascii="宋体" w:hAnsi="宋体"/>
          <w:bCs/>
          <w:color w:val="auto"/>
          <w:sz w:val="24"/>
        </w:rPr>
        <w:t xml:space="preserve"> </w:t>
      </w:r>
      <w:r>
        <w:rPr>
          <w:rFonts w:hint="eastAsia" w:ascii="宋体" w:hAnsi="宋体"/>
          <w:bCs/>
          <w:color w:val="auto"/>
          <w:sz w:val="24"/>
        </w:rPr>
        <w:t>（北京时间）</w:t>
      </w:r>
    </w:p>
    <w:p>
      <w:pPr>
        <w:rPr>
          <w:color w:val="auto"/>
        </w:rPr>
      </w:pPr>
    </w:p>
    <w:p>
      <w:pPr>
        <w:adjustRightInd w:val="0"/>
        <w:snapToGrid w:val="0"/>
        <w:spacing w:line="360" w:lineRule="auto"/>
        <w:jc w:val="left"/>
        <w:rPr>
          <w:rFonts w:ascii="宋体" w:hAnsi="宋体"/>
          <w:color w:val="auto"/>
          <w:sz w:val="24"/>
        </w:rPr>
      </w:pPr>
      <w:r>
        <w:rPr>
          <w:rFonts w:hint="eastAsia" w:ascii="黑体" w:hAnsi="黑体" w:eastAsia="黑体"/>
          <w:b/>
          <w:color w:val="auto"/>
          <w:sz w:val="28"/>
          <w:szCs w:val="28"/>
        </w:rPr>
        <w:t>十一、响应文件提交地点及开启地点：</w:t>
      </w:r>
      <w:r>
        <w:rPr>
          <w:rFonts w:hint="eastAsia" w:ascii="宋体" w:hAnsi="宋体"/>
          <w:color w:val="auto"/>
          <w:sz w:val="24"/>
        </w:rPr>
        <w:t>广州市越秀区广州大道中</w:t>
      </w:r>
      <w:r>
        <w:rPr>
          <w:rFonts w:ascii="宋体" w:hAnsi="宋体"/>
          <w:color w:val="auto"/>
          <w:sz w:val="24"/>
        </w:rPr>
        <w:t>307</w:t>
      </w:r>
      <w:r>
        <w:rPr>
          <w:rFonts w:hint="eastAsia" w:ascii="宋体" w:hAnsi="宋体"/>
          <w:color w:val="auto"/>
          <w:sz w:val="24"/>
        </w:rPr>
        <w:t>号富力东山新天地</w:t>
      </w:r>
      <w:r>
        <w:rPr>
          <w:rFonts w:ascii="宋体" w:hAnsi="宋体"/>
          <w:color w:val="auto"/>
          <w:sz w:val="24"/>
        </w:rPr>
        <w:t>36</w:t>
      </w:r>
      <w:r>
        <w:rPr>
          <w:rFonts w:hint="eastAsia" w:ascii="宋体" w:hAnsi="宋体"/>
          <w:color w:val="auto"/>
          <w:sz w:val="24"/>
        </w:rPr>
        <w:t>楼广东华鑫招标采购有限公司。</w:t>
      </w:r>
    </w:p>
    <w:p>
      <w:pPr>
        <w:rPr>
          <w:color w:val="auto"/>
        </w:rPr>
      </w:pPr>
    </w:p>
    <w:p>
      <w:pPr>
        <w:adjustRightInd w:val="0"/>
        <w:snapToGrid w:val="0"/>
        <w:spacing w:line="360" w:lineRule="auto"/>
        <w:jc w:val="left"/>
        <w:rPr>
          <w:rFonts w:ascii="宋体" w:hAnsi="宋体"/>
          <w:color w:val="auto"/>
          <w:spacing w:val="-6"/>
          <w:sz w:val="24"/>
        </w:rPr>
      </w:pPr>
      <w:r>
        <w:rPr>
          <w:rFonts w:hint="eastAsia" w:ascii="黑体" w:hAnsi="黑体" w:eastAsia="黑体"/>
          <w:b/>
          <w:color w:val="auto"/>
          <w:sz w:val="28"/>
          <w:szCs w:val="28"/>
        </w:rPr>
        <w:t>十二、</w:t>
      </w:r>
      <w:r>
        <w:rPr>
          <w:rFonts w:hint="eastAsia" w:ascii="黑体" w:hAnsi="黑体" w:eastAsia="黑体"/>
          <w:b/>
          <w:bCs/>
          <w:color w:val="auto"/>
          <w:sz w:val="28"/>
          <w:szCs w:val="28"/>
        </w:rPr>
        <w:t>提交响应文件截止时间及</w:t>
      </w:r>
      <w:r>
        <w:rPr>
          <w:rFonts w:hint="eastAsia" w:ascii="黑体" w:hAnsi="黑体" w:eastAsia="黑体"/>
          <w:b/>
          <w:color w:val="auto"/>
          <w:sz w:val="28"/>
          <w:szCs w:val="28"/>
        </w:rPr>
        <w:t>开启时间</w:t>
      </w:r>
      <w:r>
        <w:rPr>
          <w:rFonts w:hint="eastAsia" w:ascii="黑体" w:hAnsi="黑体" w:eastAsia="黑体"/>
          <w:color w:val="auto"/>
          <w:sz w:val="28"/>
          <w:szCs w:val="28"/>
        </w:rPr>
        <w:t>：</w:t>
      </w:r>
      <w:r>
        <w:rPr>
          <w:rFonts w:hint="eastAsia" w:ascii="宋体" w:hAnsi="宋体"/>
          <w:bCs/>
          <w:color w:val="auto"/>
          <w:sz w:val="24"/>
        </w:rPr>
        <w:t>2020年</w:t>
      </w:r>
      <w:r>
        <w:rPr>
          <w:rFonts w:hint="eastAsia" w:ascii="宋体" w:hAnsi="宋体" w:cs="宋体"/>
          <w:bCs/>
          <w:color w:val="auto"/>
          <w:sz w:val="24"/>
          <w:lang w:val="en-US" w:eastAsia="zh-CN"/>
        </w:rPr>
        <w:t>12</w:t>
      </w:r>
      <w:r>
        <w:rPr>
          <w:rFonts w:hint="eastAsia" w:ascii="宋体" w:hAnsi="宋体" w:cs="宋体"/>
          <w:bCs/>
          <w:color w:val="auto"/>
          <w:sz w:val="24"/>
        </w:rPr>
        <w:t>月</w:t>
      </w:r>
      <w:r>
        <w:rPr>
          <w:rFonts w:hint="eastAsia" w:ascii="宋体" w:hAnsi="宋体" w:cs="宋体"/>
          <w:bCs/>
          <w:color w:val="auto"/>
          <w:sz w:val="24"/>
          <w:lang w:val="en-US" w:eastAsia="zh-CN"/>
        </w:rPr>
        <w:t>15</w:t>
      </w:r>
      <w:r>
        <w:rPr>
          <w:rFonts w:hint="eastAsia" w:ascii="宋体" w:hAnsi="宋体"/>
          <w:bCs/>
          <w:color w:val="auto"/>
          <w:sz w:val="24"/>
        </w:rPr>
        <w:t>日</w:t>
      </w:r>
      <w:r>
        <w:rPr>
          <w:rFonts w:hint="eastAsia" w:ascii="宋体" w:hAnsi="宋体"/>
          <w:bCs/>
          <w:color w:val="auto"/>
          <w:sz w:val="24"/>
          <w:lang w:val="en-US" w:eastAsia="zh-CN"/>
        </w:rPr>
        <w:t>10</w:t>
      </w:r>
      <w:r>
        <w:rPr>
          <w:rFonts w:hint="eastAsia" w:ascii="宋体" w:hAnsi="宋体"/>
          <w:bCs/>
          <w:color w:val="auto"/>
          <w:sz w:val="24"/>
        </w:rPr>
        <w:t>：</w:t>
      </w:r>
      <w:r>
        <w:rPr>
          <w:rFonts w:hint="eastAsia" w:ascii="宋体" w:hAnsi="宋体"/>
          <w:bCs/>
          <w:color w:val="auto"/>
          <w:sz w:val="24"/>
          <w:lang w:val="en-US" w:eastAsia="zh-CN"/>
        </w:rPr>
        <w:t>00</w:t>
      </w:r>
      <w:r>
        <w:rPr>
          <w:rFonts w:hint="eastAsia" w:ascii="宋体" w:hAnsi="宋体"/>
          <w:color w:val="auto"/>
          <w:sz w:val="24"/>
        </w:rPr>
        <w:t>（北京时间）</w:t>
      </w:r>
      <w:r>
        <w:rPr>
          <w:rFonts w:hint="eastAsia" w:ascii="宋体" w:hAnsi="宋体"/>
          <w:color w:val="auto"/>
          <w:spacing w:val="-6"/>
          <w:sz w:val="24"/>
        </w:rPr>
        <w:t>，逾期不予接收。</w:t>
      </w:r>
    </w:p>
    <w:p>
      <w:pPr>
        <w:adjustRightInd w:val="0"/>
        <w:snapToGrid w:val="0"/>
        <w:spacing w:line="360" w:lineRule="auto"/>
        <w:jc w:val="left"/>
        <w:rPr>
          <w:rFonts w:ascii="宋体" w:hAnsi="宋体"/>
          <w:color w:val="auto"/>
          <w:sz w:val="24"/>
        </w:rPr>
      </w:pPr>
      <w:r>
        <w:rPr>
          <w:rFonts w:hint="eastAsia" w:ascii="黑体" w:hAnsi="黑体" w:eastAsia="黑体"/>
          <w:b/>
          <w:color w:val="auto"/>
          <w:sz w:val="28"/>
          <w:szCs w:val="28"/>
        </w:rPr>
        <w:t>十三、本公告期限</w:t>
      </w:r>
      <w:r>
        <w:rPr>
          <w:rFonts w:hint="eastAsia" w:ascii="黑体" w:hAnsi="黑体" w:eastAsia="黑体"/>
          <w:color w:val="auto"/>
          <w:sz w:val="28"/>
          <w:szCs w:val="28"/>
        </w:rPr>
        <w:t>（3个工作日）</w:t>
      </w:r>
      <w:r>
        <w:rPr>
          <w:rFonts w:hint="eastAsia" w:ascii="宋体" w:hAnsi="宋体"/>
          <w:b/>
          <w:color w:val="auto"/>
          <w:sz w:val="28"/>
          <w:szCs w:val="28"/>
        </w:rPr>
        <w:t>：</w:t>
      </w:r>
      <w:r>
        <w:rPr>
          <w:rFonts w:hint="eastAsia" w:ascii="宋体" w:hAnsi="宋体"/>
          <w:color w:val="auto"/>
          <w:sz w:val="24"/>
        </w:rPr>
        <w:t>自2020年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4</w:t>
      </w:r>
      <w:r>
        <w:rPr>
          <w:rFonts w:hint="eastAsia" w:ascii="宋体" w:hAnsi="宋体"/>
          <w:color w:val="auto"/>
          <w:sz w:val="24"/>
        </w:rPr>
        <w:t>日至2020年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8</w:t>
      </w:r>
      <w:r>
        <w:rPr>
          <w:rFonts w:hint="eastAsia" w:ascii="宋体" w:hAnsi="宋体"/>
          <w:color w:val="auto"/>
          <w:sz w:val="24"/>
        </w:rPr>
        <w:t>日止</w:t>
      </w:r>
    </w:p>
    <w:p>
      <w:pPr>
        <w:adjustRightInd w:val="0"/>
        <w:snapToGrid w:val="0"/>
        <w:spacing w:line="360" w:lineRule="auto"/>
        <w:jc w:val="left"/>
        <w:rPr>
          <w:rFonts w:ascii="宋体" w:hAnsi="宋体"/>
          <w:color w:val="auto"/>
          <w:sz w:val="24"/>
        </w:rPr>
      </w:pPr>
    </w:p>
    <w:p>
      <w:pPr>
        <w:widowControl/>
        <w:tabs>
          <w:tab w:val="left" w:pos="5400"/>
        </w:tabs>
        <w:snapToGrid w:val="0"/>
        <w:spacing w:line="360" w:lineRule="auto"/>
        <w:jc w:val="left"/>
        <w:rPr>
          <w:rFonts w:ascii="黑体" w:hAnsi="黑体" w:eastAsia="黑体" w:cs="宋体"/>
          <w:b/>
          <w:color w:val="auto"/>
          <w:kern w:val="0"/>
          <w:sz w:val="28"/>
          <w:szCs w:val="28"/>
        </w:rPr>
      </w:pPr>
      <w:r>
        <w:rPr>
          <w:rFonts w:hint="eastAsia" w:ascii="黑体" w:hAnsi="黑体" w:eastAsia="黑体"/>
          <w:b/>
          <w:color w:val="auto"/>
          <w:sz w:val="28"/>
          <w:szCs w:val="28"/>
        </w:rPr>
        <w:t>十四、</w:t>
      </w:r>
      <w:r>
        <w:rPr>
          <w:rFonts w:hint="eastAsia" w:ascii="黑体" w:hAnsi="黑体" w:eastAsia="黑体" w:cs="宋体"/>
          <w:b/>
          <w:color w:val="auto"/>
          <w:kern w:val="0"/>
          <w:sz w:val="28"/>
          <w:szCs w:val="28"/>
        </w:rPr>
        <w:t>发布公告</w:t>
      </w:r>
    </w:p>
    <w:p>
      <w:pPr>
        <w:widowControl/>
        <w:tabs>
          <w:tab w:val="left" w:pos="5400"/>
        </w:tabs>
        <w:snapToGrid w:val="0"/>
        <w:spacing w:line="360" w:lineRule="auto"/>
        <w:ind w:firstLine="480" w:firstLineChars="200"/>
        <w:jc w:val="left"/>
        <w:rPr>
          <w:rFonts w:ascii="宋体" w:hAnsi="宋体"/>
          <w:color w:val="auto"/>
          <w:sz w:val="24"/>
        </w:rPr>
      </w:pPr>
      <w:r>
        <w:rPr>
          <w:rFonts w:hint="eastAsia" w:ascii="宋体" w:hAnsi="宋体"/>
          <w:color w:val="auto"/>
          <w:sz w:val="24"/>
        </w:rPr>
        <w:t>本项目竞争性磋商公告等相关信息在</w:t>
      </w:r>
      <w:r>
        <w:rPr>
          <w:rFonts w:hint="eastAsia" w:ascii="宋体" w:hAnsi="宋体" w:cs="宋体"/>
          <w:color w:val="auto"/>
          <w:kern w:val="1"/>
          <w:sz w:val="24"/>
        </w:rPr>
        <w:t>【中国政府采购网（www.ccgp.gov.cn）、</w:t>
      </w:r>
      <w:r>
        <w:rPr>
          <w:rFonts w:hint="eastAsia" w:ascii="宋体" w:hAnsi="宋体"/>
          <w:color w:val="auto"/>
          <w:sz w:val="24"/>
        </w:rPr>
        <w:t>广东华鑫招标采购有限公司（</w:t>
      </w:r>
      <w:r>
        <w:rPr>
          <w:rFonts w:ascii="宋体" w:hAnsi="宋体"/>
          <w:color w:val="auto"/>
          <w:sz w:val="24"/>
        </w:rPr>
        <w:t>www.huaxinbidding.cn</w:t>
      </w:r>
      <w:r>
        <w:rPr>
          <w:rFonts w:hint="eastAsia" w:ascii="宋体" w:hAnsi="宋体"/>
          <w:color w:val="auto"/>
          <w:sz w:val="24"/>
        </w:rPr>
        <w:t>）</w:t>
      </w:r>
      <w:r>
        <w:rPr>
          <w:rFonts w:hint="eastAsia" w:ascii="宋体" w:hAnsi="宋体" w:cs="宋体"/>
          <w:color w:val="auto"/>
          <w:kern w:val="1"/>
          <w:sz w:val="24"/>
        </w:rPr>
        <w:t>、</w:t>
      </w:r>
      <w:r>
        <w:rPr>
          <w:rFonts w:hint="eastAsia" w:ascii="宋体" w:hAnsi="宋体"/>
          <w:color w:val="auto"/>
          <w:sz w:val="24"/>
        </w:rPr>
        <w:t>中招联合招标采购网“http://www.365trade.com.cn/”】上公布</w:t>
      </w:r>
      <w:r>
        <w:rPr>
          <w:rFonts w:ascii="宋体"/>
          <w:color w:val="auto"/>
          <w:sz w:val="24"/>
        </w:rPr>
        <w:t>,</w:t>
      </w:r>
      <w:r>
        <w:rPr>
          <w:rFonts w:hint="eastAsia" w:ascii="宋体" w:hAnsi="宋体"/>
          <w:color w:val="auto"/>
          <w:sz w:val="24"/>
        </w:rPr>
        <w:t>并视为有效送达，不再另行通知。</w:t>
      </w:r>
    </w:p>
    <w:p>
      <w:pPr>
        <w:widowControl/>
        <w:tabs>
          <w:tab w:val="left" w:pos="5400"/>
        </w:tabs>
        <w:snapToGrid w:val="0"/>
        <w:spacing w:line="360" w:lineRule="auto"/>
        <w:ind w:firstLine="480" w:firstLineChars="200"/>
        <w:jc w:val="left"/>
        <w:rPr>
          <w:rFonts w:ascii="宋体" w:hAnsi="宋体"/>
          <w:color w:val="auto"/>
          <w:sz w:val="24"/>
        </w:rPr>
      </w:pPr>
    </w:p>
    <w:p>
      <w:pPr>
        <w:widowControl/>
        <w:tabs>
          <w:tab w:val="left" w:pos="5400"/>
        </w:tabs>
        <w:snapToGrid w:val="0"/>
        <w:spacing w:before="120" w:beforeLines="50" w:after="120" w:afterLines="50" w:line="360" w:lineRule="auto"/>
        <w:jc w:val="left"/>
        <w:rPr>
          <w:rFonts w:ascii="黑体" w:hAnsi="黑体" w:eastAsia="黑体"/>
          <w:b/>
          <w:color w:val="auto"/>
          <w:sz w:val="28"/>
          <w:szCs w:val="28"/>
        </w:rPr>
      </w:pPr>
      <w:r>
        <w:rPr>
          <w:rFonts w:hint="eastAsia" w:ascii="黑体" w:hAnsi="黑体" w:eastAsia="黑体"/>
          <w:b/>
          <w:color w:val="auto"/>
          <w:sz w:val="28"/>
          <w:szCs w:val="28"/>
        </w:rPr>
        <w:t>十五、已购买磋商文件，而不参加响应的供应商，请于提交响应文件截止前</w:t>
      </w:r>
      <w:r>
        <w:rPr>
          <w:rFonts w:ascii="黑体" w:hAnsi="黑体" w:eastAsia="黑体"/>
          <w:b/>
          <w:color w:val="auto"/>
          <w:sz w:val="28"/>
          <w:szCs w:val="28"/>
        </w:rPr>
        <w:t>3</w:t>
      </w:r>
      <w:r>
        <w:rPr>
          <w:rFonts w:hint="eastAsia" w:ascii="黑体" w:hAnsi="黑体" w:eastAsia="黑体"/>
          <w:b/>
          <w:color w:val="auto"/>
          <w:sz w:val="28"/>
          <w:szCs w:val="28"/>
        </w:rPr>
        <w:t>日以书面形式告知采购代理机构。</w:t>
      </w:r>
    </w:p>
    <w:p>
      <w:pPr>
        <w:rPr>
          <w:rFonts w:ascii="宋体"/>
          <w:color w:val="auto"/>
          <w:sz w:val="24"/>
        </w:rPr>
      </w:pPr>
    </w:p>
    <w:p>
      <w:pPr>
        <w:adjustRightInd w:val="0"/>
        <w:snapToGrid w:val="0"/>
        <w:spacing w:line="360" w:lineRule="auto"/>
        <w:jc w:val="left"/>
        <w:rPr>
          <w:rFonts w:ascii="黑体" w:hAnsi="黑体" w:eastAsia="黑体"/>
          <w:b/>
          <w:color w:val="auto"/>
          <w:sz w:val="28"/>
          <w:szCs w:val="28"/>
        </w:rPr>
      </w:pPr>
      <w:r>
        <w:rPr>
          <w:rFonts w:hint="eastAsia" w:ascii="黑体" w:hAnsi="黑体" w:eastAsia="黑体"/>
          <w:b/>
          <w:color w:val="auto"/>
          <w:sz w:val="28"/>
          <w:szCs w:val="28"/>
        </w:rPr>
        <w:t>十六、联系事项</w:t>
      </w:r>
    </w:p>
    <w:p>
      <w:pPr>
        <w:adjustRightInd w:val="0"/>
        <w:snapToGrid w:val="0"/>
        <w:spacing w:line="360" w:lineRule="auto"/>
        <w:jc w:val="left"/>
        <w:rPr>
          <w:rFonts w:hint="eastAsia" w:ascii="宋体" w:hAnsi="宋体"/>
          <w:color w:val="auto"/>
          <w:sz w:val="24"/>
        </w:rPr>
      </w:pPr>
      <w:r>
        <w:rPr>
          <w:rFonts w:hint="eastAsia" w:ascii="宋体" w:hAnsi="宋体"/>
          <w:color w:val="auto"/>
          <w:sz w:val="24"/>
        </w:rPr>
        <w:t>（一）采购人：南方医科大学口腔医院（广东省口腔医院）</w:t>
      </w: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地址：广州市海珠区江南大道南366号</w:t>
      </w:r>
    </w:p>
    <w:p>
      <w:pPr>
        <w:adjustRightInd w:val="0"/>
        <w:snapToGrid w:val="0"/>
        <w:spacing w:line="360" w:lineRule="auto"/>
        <w:jc w:val="left"/>
        <w:rPr>
          <w:rFonts w:ascii="宋体" w:hAnsi="宋体"/>
          <w:color w:val="auto"/>
          <w:sz w:val="24"/>
        </w:rPr>
      </w:pPr>
      <w:r>
        <w:rPr>
          <w:rFonts w:hint="eastAsia" w:ascii="宋体" w:hAnsi="宋体"/>
          <w:color w:val="auto"/>
          <w:sz w:val="24"/>
        </w:rPr>
        <w:t>（二）采购代理机构：广东华鑫招标采购有限公司</w:t>
      </w: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地址：广州市越秀区广州大道中</w:t>
      </w:r>
      <w:r>
        <w:rPr>
          <w:rFonts w:ascii="宋体" w:hAnsi="宋体"/>
          <w:color w:val="auto"/>
          <w:sz w:val="24"/>
        </w:rPr>
        <w:t>307</w:t>
      </w:r>
      <w:r>
        <w:rPr>
          <w:rFonts w:hint="eastAsia" w:ascii="宋体" w:hAnsi="宋体"/>
          <w:color w:val="auto"/>
          <w:sz w:val="24"/>
        </w:rPr>
        <w:t>号富力东山新天地</w:t>
      </w:r>
      <w:r>
        <w:rPr>
          <w:rFonts w:ascii="宋体" w:hAnsi="宋体"/>
          <w:color w:val="auto"/>
          <w:sz w:val="24"/>
        </w:rPr>
        <w:t>36</w:t>
      </w:r>
      <w:r>
        <w:rPr>
          <w:rFonts w:hint="eastAsia" w:ascii="宋体" w:hAnsi="宋体"/>
          <w:color w:val="auto"/>
          <w:sz w:val="24"/>
        </w:rPr>
        <w:t>楼</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联系人：刘家栋</w:t>
      </w:r>
      <w:r>
        <w:rPr>
          <w:rFonts w:ascii="宋体"/>
          <w:color w:val="auto"/>
          <w:sz w:val="24"/>
        </w:rPr>
        <w:tab/>
      </w:r>
      <w:r>
        <w:rPr>
          <w:rFonts w:hint="eastAsia" w:ascii="宋体" w:hAnsi="宋体"/>
          <w:color w:val="auto"/>
          <w:sz w:val="24"/>
        </w:rPr>
        <w:t>联系电话：</w:t>
      </w:r>
      <w:r>
        <w:rPr>
          <w:rFonts w:ascii="宋体" w:hAnsi="宋体"/>
          <w:color w:val="auto"/>
          <w:sz w:val="24"/>
        </w:rPr>
        <w:t>020-87300828</w:t>
      </w:r>
    </w:p>
    <w:p>
      <w:pPr>
        <w:adjustRightInd w:val="0"/>
        <w:snapToGrid w:val="0"/>
        <w:spacing w:line="360" w:lineRule="auto"/>
        <w:jc w:val="left"/>
        <w:rPr>
          <w:rFonts w:hint="eastAsia" w:ascii="宋体" w:hAnsi="宋体"/>
          <w:color w:val="auto"/>
          <w:sz w:val="24"/>
        </w:rPr>
      </w:pPr>
      <w:r>
        <w:rPr>
          <w:rFonts w:hint="eastAsia" w:ascii="宋体" w:hAnsi="宋体"/>
          <w:color w:val="auto"/>
          <w:sz w:val="24"/>
        </w:rPr>
        <w:t>（三）采购项目联系人：冯先生</w:t>
      </w:r>
      <w:r>
        <w:rPr>
          <w:rFonts w:ascii="宋体"/>
          <w:color w:val="auto"/>
          <w:sz w:val="24"/>
        </w:rPr>
        <w:tab/>
      </w:r>
      <w:r>
        <w:rPr>
          <w:rFonts w:hint="eastAsia" w:ascii="宋体" w:hAnsi="宋体"/>
          <w:color w:val="auto"/>
          <w:sz w:val="24"/>
        </w:rPr>
        <w:t>联系电话：</w:t>
      </w:r>
      <w:r>
        <w:rPr>
          <w:rFonts w:ascii="宋体" w:hAnsi="宋体"/>
          <w:color w:val="auto"/>
          <w:sz w:val="24"/>
        </w:rPr>
        <w:t>020-87300828</w:t>
      </w:r>
      <w:r>
        <w:rPr>
          <w:rFonts w:hint="eastAsia" w:ascii="宋体" w:hAnsi="宋体"/>
          <w:color w:val="auto"/>
          <w:sz w:val="24"/>
        </w:rPr>
        <w:t>-883</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工作时间：工作日上午</w:t>
      </w:r>
      <w:r>
        <w:rPr>
          <w:rFonts w:ascii="宋体" w:hAnsi="宋体"/>
          <w:color w:val="auto"/>
          <w:sz w:val="24"/>
        </w:rPr>
        <w:t>8:30--12:00</w:t>
      </w:r>
      <w:r>
        <w:rPr>
          <w:rFonts w:hint="eastAsia" w:ascii="宋体" w:hAnsi="宋体"/>
          <w:color w:val="auto"/>
          <w:sz w:val="24"/>
        </w:rPr>
        <w:t>，下午</w:t>
      </w:r>
      <w:r>
        <w:rPr>
          <w:rFonts w:ascii="宋体" w:hAnsi="宋体"/>
          <w:color w:val="auto"/>
          <w:sz w:val="24"/>
        </w:rPr>
        <w:t>14:00--18:00</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传真：</w:t>
      </w:r>
      <w:r>
        <w:rPr>
          <w:rFonts w:ascii="宋体" w:hAnsi="宋体"/>
          <w:color w:val="auto"/>
          <w:sz w:val="24"/>
        </w:rPr>
        <w:t xml:space="preserve">020-87302980   </w:t>
      </w:r>
      <w:r>
        <w:rPr>
          <w:rFonts w:ascii="宋体" w:hAnsi="宋体"/>
          <w:color w:val="auto"/>
          <w:sz w:val="24"/>
        </w:rPr>
        <w:tab/>
      </w:r>
      <w:r>
        <w:rPr>
          <w:rFonts w:hint="eastAsia" w:ascii="宋体" w:hAnsi="宋体"/>
          <w:color w:val="auto"/>
          <w:sz w:val="24"/>
        </w:rPr>
        <w:t>邮编：</w:t>
      </w:r>
      <w:r>
        <w:rPr>
          <w:rFonts w:ascii="宋体" w:hAnsi="宋体"/>
          <w:color w:val="auto"/>
          <w:sz w:val="24"/>
        </w:rPr>
        <w:t>510000</w:t>
      </w:r>
    </w:p>
    <w:p>
      <w:pPr>
        <w:adjustRightInd w:val="0"/>
        <w:snapToGrid w:val="0"/>
        <w:spacing w:line="360" w:lineRule="auto"/>
        <w:ind w:firstLine="480" w:firstLineChars="200"/>
        <w:jc w:val="left"/>
        <w:rPr>
          <w:rFonts w:ascii="宋体" w:hAnsi="宋体"/>
          <w:color w:val="auto"/>
          <w:sz w:val="24"/>
        </w:rPr>
      </w:pPr>
      <w:r>
        <w:rPr>
          <w:rFonts w:ascii="宋体" w:hAnsi="宋体"/>
          <w:color w:val="auto"/>
          <w:sz w:val="24"/>
        </w:rPr>
        <w:t>E-mail</w:t>
      </w:r>
      <w:r>
        <w:rPr>
          <w:rFonts w:hint="eastAsia" w:ascii="宋体" w:hAnsi="宋体"/>
          <w:color w:val="auto"/>
          <w:sz w:val="24"/>
        </w:rPr>
        <w:t>：</w:t>
      </w:r>
      <w:r>
        <w:rPr>
          <w:rFonts w:ascii="宋体" w:hAnsi="宋体"/>
          <w:color w:val="auto"/>
          <w:sz w:val="24"/>
        </w:rPr>
        <w:t>cs@gdhuaxin.cn</w:t>
      </w:r>
      <w:r>
        <w:rPr>
          <w:rFonts w:ascii="宋体" w:hAnsi="宋体"/>
          <w:color w:val="auto"/>
          <w:sz w:val="24"/>
        </w:rPr>
        <w:tab/>
      </w:r>
    </w:p>
    <w:p>
      <w:pPr>
        <w:adjustRightInd w:val="0"/>
        <w:snapToGrid w:val="0"/>
        <w:spacing w:line="360" w:lineRule="auto"/>
        <w:ind w:firstLine="480" w:firstLineChars="200"/>
        <w:jc w:val="left"/>
        <w:rPr>
          <w:rFonts w:ascii="宋体" w:hAnsi="宋体"/>
          <w:color w:val="auto"/>
          <w:sz w:val="24"/>
        </w:rPr>
      </w:pPr>
    </w:p>
    <w:p>
      <w:pPr>
        <w:adjustRightInd w:val="0"/>
        <w:snapToGrid w:val="0"/>
        <w:spacing w:line="360" w:lineRule="auto"/>
        <w:jc w:val="left"/>
        <w:rPr>
          <w:rFonts w:ascii="黑体" w:hAnsi="黑体" w:eastAsia="黑体"/>
          <w:b/>
          <w:color w:val="auto"/>
          <w:sz w:val="28"/>
          <w:szCs w:val="28"/>
        </w:rPr>
      </w:pPr>
      <w:r>
        <w:rPr>
          <w:rFonts w:hint="eastAsia" w:ascii="黑体" w:hAnsi="黑体" w:eastAsia="黑体"/>
          <w:b/>
          <w:color w:val="auto"/>
          <w:sz w:val="28"/>
          <w:szCs w:val="28"/>
        </w:rPr>
        <w:t>十七、磋商文件购买款账户</w:t>
      </w:r>
      <w:bookmarkStart w:id="1" w:name="_GoBack"/>
      <w:bookmarkEnd w:id="1"/>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登陆平台扫码支付，银行转账、微信支付、支付宝支付均可。</w:t>
      </w:r>
    </w:p>
    <w:p>
      <w:pPr>
        <w:adjustRightInd w:val="0"/>
        <w:snapToGrid w:val="0"/>
        <w:spacing w:line="360" w:lineRule="auto"/>
        <w:ind w:left="0" w:leftChars="0" w:firstLine="3373" w:firstLineChars="1200"/>
        <w:jc w:val="left"/>
        <w:rPr>
          <w:rFonts w:ascii="黑体" w:hAnsi="黑体" w:eastAsia="黑体"/>
          <w:b/>
          <w:color w:val="auto"/>
          <w:sz w:val="28"/>
          <w:szCs w:val="28"/>
        </w:rPr>
      </w:pPr>
      <w:r>
        <w:rPr>
          <w:rFonts w:hint="eastAsia" w:ascii="黑体" w:hAnsi="黑体" w:eastAsia="黑体"/>
          <w:b/>
          <w:color w:val="auto"/>
          <w:sz w:val="28"/>
          <w:szCs w:val="28"/>
        </w:rPr>
        <w:t>南方医科大学口腔医院（广东省口腔医院）</w:t>
      </w:r>
    </w:p>
    <w:p>
      <w:pPr>
        <w:adjustRightInd w:val="0"/>
        <w:snapToGrid w:val="0"/>
        <w:spacing w:line="360" w:lineRule="auto"/>
        <w:ind w:firstLine="5341" w:firstLineChars="1900"/>
        <w:jc w:val="left"/>
        <w:rPr>
          <w:rFonts w:ascii="黑体" w:hAnsi="黑体" w:eastAsia="黑体"/>
          <w:b/>
          <w:color w:val="auto"/>
          <w:sz w:val="28"/>
          <w:szCs w:val="28"/>
        </w:rPr>
      </w:pPr>
      <w:r>
        <w:rPr>
          <w:rFonts w:hint="eastAsia" w:ascii="黑体" w:hAnsi="黑体" w:eastAsia="黑体"/>
          <w:b/>
          <w:color w:val="auto"/>
          <w:sz w:val="28"/>
          <w:szCs w:val="28"/>
        </w:rPr>
        <w:t>2020年</w:t>
      </w:r>
      <w:r>
        <w:rPr>
          <w:rFonts w:hint="eastAsia" w:ascii="黑体" w:hAnsi="黑体" w:eastAsia="黑体"/>
          <w:b/>
          <w:color w:val="auto"/>
          <w:sz w:val="28"/>
          <w:szCs w:val="28"/>
          <w:lang w:val="en-US" w:eastAsia="zh-CN"/>
        </w:rPr>
        <w:t>12</w:t>
      </w:r>
      <w:r>
        <w:rPr>
          <w:rFonts w:hint="eastAsia" w:ascii="黑体" w:hAnsi="黑体" w:eastAsia="黑体"/>
          <w:b/>
          <w:color w:val="auto"/>
          <w:sz w:val="28"/>
          <w:szCs w:val="28"/>
        </w:rPr>
        <w:t>月</w:t>
      </w:r>
      <w:r>
        <w:rPr>
          <w:rFonts w:hint="eastAsia" w:ascii="黑体" w:hAnsi="黑体" w:eastAsia="黑体"/>
          <w:b/>
          <w:color w:val="auto"/>
          <w:sz w:val="28"/>
          <w:szCs w:val="28"/>
          <w:lang w:val="en-US" w:eastAsia="zh-CN"/>
        </w:rPr>
        <w:t>3</w:t>
      </w:r>
      <w:r>
        <w:rPr>
          <w:rFonts w:hint="eastAsia" w:ascii="黑体" w:hAnsi="黑体" w:eastAsia="黑体"/>
          <w:b/>
          <w:color w:val="auto"/>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61C79"/>
    <w:rsid w:val="01061C79"/>
    <w:rsid w:val="02985952"/>
    <w:rsid w:val="03B248FC"/>
    <w:rsid w:val="09A03871"/>
    <w:rsid w:val="0E2F5361"/>
    <w:rsid w:val="1B614FFD"/>
    <w:rsid w:val="208A6F49"/>
    <w:rsid w:val="28132D99"/>
    <w:rsid w:val="2FF360FD"/>
    <w:rsid w:val="3ED859C9"/>
    <w:rsid w:val="494F78DE"/>
    <w:rsid w:val="4BBF3117"/>
    <w:rsid w:val="51B16EC7"/>
    <w:rsid w:val="56C53786"/>
    <w:rsid w:val="605111B8"/>
    <w:rsid w:val="63905406"/>
    <w:rsid w:val="68C34C26"/>
    <w:rsid w:val="6C313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文本"/>
    <w:basedOn w:val="1"/>
    <w:qFormat/>
    <w:uiPriority w:val="0"/>
    <w:pPr>
      <w:spacing w:before="25" w:beforeLines="25" w:after="25" w:afterLines="25"/>
      <w:ind w:firstLine="420"/>
    </w:pPr>
  </w:style>
  <w:style w:type="paragraph" w:styleId="3">
    <w:name w:val="Body Text"/>
    <w:basedOn w:val="1"/>
    <w:qFormat/>
    <w:uiPriority w:val="0"/>
    <w:pPr>
      <w:spacing w:after="120" w:afterLines="0" w:afterAutospacing="0"/>
    </w:pPr>
  </w:style>
  <w:style w:type="paragraph" w:styleId="4">
    <w:name w:val="Body Text First Indent"/>
    <w:basedOn w:val="3"/>
    <w:qFormat/>
    <w:uiPriority w:val="0"/>
    <w:pPr>
      <w:ind w:firstLine="420" w:firstLineChars="100"/>
    </w:pPr>
  </w:style>
  <w:style w:type="paragraph" w:styleId="5">
    <w:name w:val="Body Text First Indent 2"/>
    <w:basedOn w:val="1"/>
    <w:next w:val="6"/>
    <w:qFormat/>
    <w:uiPriority w:val="0"/>
    <w:pPr>
      <w:spacing w:after="120" w:line="360" w:lineRule="auto"/>
      <w:ind w:firstLine="482"/>
      <w:textAlignment w:val="top"/>
    </w:pPr>
  </w:style>
  <w:style w:type="paragraph" w:customStyle="1" w:styleId="6">
    <w:name w:val="正文文本_0"/>
    <w:basedOn w:val="7"/>
    <w:qFormat/>
    <w:uiPriority w:val="0"/>
    <w:pPr>
      <w:spacing w:after="120"/>
    </w:pPr>
  </w:style>
  <w:style w:type="paragraph" w:customStyle="1" w:styleId="7">
    <w:name w:val="正文_0"/>
    <w:next w:val="5"/>
    <w:qFormat/>
    <w:uiPriority w:val="0"/>
    <w:pPr>
      <w:widowControl w:val="0"/>
      <w:jc w:val="both"/>
    </w:pPr>
    <w:rPr>
      <w:rFonts w:ascii="等线" w:hAnsi="等线" w:eastAsia="等线" w:cs="Times New Roman"/>
      <w:kern w:val="2"/>
      <w:sz w:val="21"/>
      <w:szCs w:val="22"/>
      <w:lang w:val="en-US" w:eastAsia="zh-CN" w:bidi="ar-SA"/>
    </w:rPr>
  </w:style>
  <w:style w:type="paragraph" w:customStyle="1" w:styleId="10">
    <w:name w:val="1.0"/>
    <w:basedOn w:val="1"/>
    <w:link w:val="16"/>
    <w:qFormat/>
    <w:uiPriority w:val="0"/>
    <w:pPr>
      <w:spacing w:before="50" w:beforeLines="50" w:after="50" w:afterLines="50" w:line="360" w:lineRule="auto"/>
      <w:jc w:val="center"/>
      <w:outlineLvl w:val="0"/>
    </w:pPr>
    <w:rPr>
      <w:rFonts w:ascii="Calibri" w:hAnsi="Calibri" w:eastAsia="宋体" w:cs="Times New Roman"/>
      <w:b/>
      <w:sz w:val="36"/>
    </w:rPr>
  </w:style>
  <w:style w:type="paragraph" w:customStyle="1" w:styleId="11">
    <w:name w:val="2.0"/>
    <w:basedOn w:val="4"/>
    <w:link w:val="17"/>
    <w:qFormat/>
    <w:uiPriority w:val="0"/>
    <w:pPr>
      <w:spacing w:before="60" w:after="60" w:line="360" w:lineRule="auto"/>
      <w:ind w:firstLine="0" w:firstLineChars="0"/>
      <w:jc w:val="center"/>
      <w:outlineLvl w:val="1"/>
    </w:pPr>
    <w:rPr>
      <w:rFonts w:ascii="Times New Roman" w:hAnsi="Times New Roman" w:eastAsia="宋体" w:cs="Times New Roman"/>
      <w:b/>
      <w:sz w:val="32"/>
    </w:rPr>
  </w:style>
  <w:style w:type="paragraph" w:customStyle="1" w:styleId="12">
    <w:name w:val="3.0"/>
    <w:basedOn w:val="1"/>
    <w:qFormat/>
    <w:uiPriority w:val="0"/>
    <w:pPr>
      <w:spacing w:line="360" w:lineRule="auto"/>
      <w:jc w:val="center"/>
      <w:outlineLvl w:val="2"/>
    </w:pPr>
    <w:rPr>
      <w:rFonts w:ascii="Times New Roman" w:hAnsi="Times New Roman" w:eastAsia="宋体" w:cs="Times New Roman"/>
      <w:b/>
      <w:sz w:val="30"/>
    </w:rPr>
  </w:style>
  <w:style w:type="paragraph" w:customStyle="1" w:styleId="13">
    <w:name w:val="4.0"/>
    <w:basedOn w:val="4"/>
    <w:link w:val="15"/>
    <w:uiPriority w:val="0"/>
    <w:pPr>
      <w:spacing w:line="360" w:lineRule="auto"/>
      <w:ind w:firstLine="0" w:firstLineChars="0"/>
      <w:jc w:val="center"/>
      <w:outlineLvl w:val="3"/>
    </w:pPr>
    <w:rPr>
      <w:rFonts w:ascii="Times New Roman" w:hAnsi="Times New Roman" w:eastAsia="宋体" w:cs="Times New Roman"/>
      <w:b/>
      <w:sz w:val="28"/>
    </w:rPr>
  </w:style>
  <w:style w:type="paragraph" w:customStyle="1" w:styleId="14">
    <w:name w:val="5.0"/>
    <w:basedOn w:val="11"/>
    <w:uiPriority w:val="0"/>
    <w:pPr>
      <w:outlineLvl w:val="4"/>
    </w:pPr>
    <w:rPr>
      <w:rFonts w:ascii="Times New Roman" w:hAnsi="Times New Roman" w:cs="Times New Roman"/>
      <w:sz w:val="24"/>
    </w:rPr>
  </w:style>
  <w:style w:type="character" w:customStyle="1" w:styleId="15">
    <w:name w:val="4.0 Char"/>
    <w:link w:val="13"/>
    <w:uiPriority w:val="0"/>
    <w:rPr>
      <w:rFonts w:ascii="Times New Roman" w:hAnsi="Times New Roman" w:eastAsia="宋体" w:cs="Times New Roman"/>
      <w:b/>
      <w:sz w:val="28"/>
    </w:rPr>
  </w:style>
  <w:style w:type="character" w:customStyle="1" w:styleId="16">
    <w:name w:val="1.0 Char"/>
    <w:link w:val="10"/>
    <w:uiPriority w:val="0"/>
    <w:rPr>
      <w:rFonts w:ascii="Calibri" w:hAnsi="Calibri" w:eastAsia="宋体" w:cs="Times New Roman"/>
      <w:b/>
      <w:sz w:val="36"/>
    </w:rPr>
  </w:style>
  <w:style w:type="character" w:customStyle="1" w:styleId="17">
    <w:name w:val="2.0 Char"/>
    <w:link w:val="11"/>
    <w:uiPriority w:val="0"/>
    <w:rPr>
      <w:rFonts w:ascii="Times New Roman" w:hAnsi="Times New Roman" w:eastAsia="宋体" w:cs="Times New Roman"/>
      <w:b/>
      <w:sz w:val="32"/>
    </w:rPr>
  </w:style>
  <w:style w:type="paragraph" w:customStyle="1" w:styleId="18">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2020-12-03T09:37:00Z</dcterms:created>
  <dc:creator>邓宝琴3部</dc:creator>
  <cp:lastModifiedBy>邓宝琴3部</cp:lastModifiedBy>
  <dcterms:modified xsi:type="dcterms:W3CDTF">2020-12-03T10:19:21Z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