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jc w:val="center"/>
        <w:outlineLvl w:val="0"/>
        <w:rPr>
          <w:color w:val="auto"/>
          <w:sz w:val="28"/>
          <w:szCs w:val="28"/>
        </w:rPr>
      </w:pPr>
      <w:bookmarkStart w:id="0" w:name="_Toc21596"/>
      <w:r>
        <w:rPr>
          <w:rFonts w:hint="eastAsia" w:ascii="黑体" w:hAnsi="黑体" w:eastAsia="黑体"/>
          <w:b/>
          <w:color w:val="auto"/>
          <w:sz w:val="28"/>
          <w:szCs w:val="28"/>
          <w:lang w:eastAsia="zh-CN"/>
        </w:rPr>
        <w:t>南方医科大学口腔医院（广东省口腔医院）影像网络系统(PACS/RIS)应用软件项目招标公告</w:t>
      </w:r>
      <w:bookmarkEnd w:id="0"/>
    </w:p>
    <w:p>
      <w:pPr>
        <w:rPr>
          <w:rFonts w:asciiTheme="minorEastAsia" w:hAnsiTheme="minorEastAsia" w:eastAsiaTheme="minorEastAsia"/>
          <w:color w:val="auto"/>
          <w:sz w:val="24"/>
        </w:rPr>
      </w:pP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广东华鑫招标采购有限公司</w:t>
      </w:r>
      <w:r>
        <w:rPr>
          <w:rFonts w:hint="eastAsia" w:ascii="楷体" w:hAnsi="楷体" w:eastAsia="楷体" w:cs="宋体"/>
          <w:color w:val="auto"/>
          <w:kern w:val="0"/>
          <w:sz w:val="24"/>
        </w:rPr>
        <w:t>（以下简称“采购代理机构</w:t>
      </w:r>
      <w:r>
        <w:rPr>
          <w:rFonts w:hint="eastAsia" w:ascii="楷体" w:hAnsi="楷体" w:eastAsia="楷体" w:cs="宋体"/>
          <w:color w:val="auto"/>
          <w:spacing w:val="-20"/>
          <w:kern w:val="0"/>
          <w:sz w:val="24"/>
        </w:rPr>
        <w:t>”）</w:t>
      </w:r>
      <w:r>
        <w:rPr>
          <w:rFonts w:hint="eastAsia" w:ascii="宋体" w:hAnsi="宋体" w:cs="宋体"/>
          <w:color w:val="auto"/>
          <w:kern w:val="0"/>
          <w:sz w:val="24"/>
        </w:rPr>
        <w:t>受</w:t>
      </w:r>
      <w:r>
        <w:rPr>
          <w:rFonts w:hint="eastAsia" w:ascii="宋体" w:hAnsi="宋体" w:cs="宋体"/>
          <w:color w:val="auto"/>
          <w:kern w:val="0"/>
          <w:sz w:val="24"/>
          <w:u w:val="single"/>
          <w:lang w:eastAsia="zh-CN"/>
        </w:rPr>
        <w:t>南方医科大学口腔医院（广东省口腔医院）</w:t>
      </w:r>
      <w:r>
        <w:rPr>
          <w:rFonts w:hint="eastAsia" w:ascii="楷体" w:hAnsi="楷体" w:eastAsia="楷体" w:cs="宋体"/>
          <w:color w:val="auto"/>
          <w:kern w:val="0"/>
          <w:sz w:val="24"/>
        </w:rPr>
        <w:t>（以下简称“采购人”）</w:t>
      </w:r>
      <w:r>
        <w:rPr>
          <w:rFonts w:hint="eastAsia" w:ascii="宋体" w:hAnsi="宋体" w:cs="宋体"/>
          <w:color w:val="auto"/>
          <w:kern w:val="0"/>
          <w:sz w:val="24"/>
        </w:rPr>
        <w:t>的委托，就</w:t>
      </w:r>
      <w:r>
        <w:rPr>
          <w:rFonts w:hint="eastAsia" w:ascii="宋体" w:hAnsi="宋体" w:cs="宋体"/>
          <w:color w:val="auto"/>
          <w:kern w:val="0"/>
          <w:sz w:val="24"/>
          <w:u w:val="single"/>
          <w:lang w:eastAsia="zh-CN"/>
        </w:rPr>
        <w:t>南方医科大学口腔医院（广东省口腔医院）影像网络系统(PACS/RIS)应用软件项目</w:t>
      </w:r>
      <w:r>
        <w:rPr>
          <w:rFonts w:hint="eastAsia" w:ascii="宋体" w:hAnsi="宋体"/>
          <w:color w:val="auto"/>
          <w:sz w:val="24"/>
        </w:rPr>
        <w:t>进行公开招标采购，欢迎符合资格条件的供应商投标。</w:t>
      </w:r>
    </w:p>
    <w:p>
      <w:pPr>
        <w:spacing w:line="360" w:lineRule="auto"/>
        <w:rPr>
          <w:rFonts w:asciiTheme="minorEastAsia" w:hAnsiTheme="minorEastAsia" w:eastAsiaTheme="minorEastAsia"/>
          <w:color w:val="auto"/>
          <w:sz w:val="24"/>
        </w:rPr>
      </w:pPr>
      <w:bookmarkStart w:id="1" w:name="_GoBack"/>
      <w:bookmarkEnd w:id="1"/>
    </w:p>
    <w:p>
      <w:pPr>
        <w:adjustRightInd w:val="0"/>
        <w:snapToGrid w:val="0"/>
        <w:spacing w:line="360" w:lineRule="auto"/>
        <w:jc w:val="left"/>
        <w:rPr>
          <w:rFonts w:hint="eastAsia" w:ascii="宋体" w:eastAsia="宋体"/>
          <w:b/>
          <w:color w:val="auto"/>
          <w:sz w:val="28"/>
          <w:szCs w:val="28"/>
          <w:lang w:eastAsia="zh-CN"/>
        </w:rPr>
      </w:pPr>
      <w:r>
        <w:rPr>
          <w:rFonts w:hint="eastAsia" w:ascii="黑体" w:hAnsi="黑体" w:eastAsia="黑体"/>
          <w:b/>
          <w:color w:val="auto"/>
          <w:sz w:val="28"/>
          <w:szCs w:val="28"/>
        </w:rPr>
        <w:t>一、采购项目编号</w:t>
      </w:r>
      <w:r>
        <w:rPr>
          <w:rFonts w:hint="eastAsia" w:ascii="宋体" w:hAnsi="宋体"/>
          <w:b/>
          <w:color w:val="auto"/>
          <w:sz w:val="28"/>
          <w:szCs w:val="28"/>
        </w:rPr>
        <w:t>：</w:t>
      </w:r>
      <w:r>
        <w:rPr>
          <w:rFonts w:hint="eastAsia" w:ascii="宋体" w:hAnsi="宋体"/>
          <w:bCs/>
          <w:color w:val="auto"/>
          <w:sz w:val="24"/>
          <w:szCs w:val="24"/>
          <w:lang w:eastAsia="zh-CN"/>
        </w:rPr>
        <w:t>HX26870120YIZC</w:t>
      </w:r>
    </w:p>
    <w:p>
      <w:pPr>
        <w:spacing w:line="360" w:lineRule="auto"/>
        <w:rPr>
          <w:rFonts w:asciiTheme="minorEastAsia" w:hAnsiTheme="minorEastAsia" w:eastAsiaTheme="minorEastAsia"/>
          <w:color w:val="auto"/>
          <w:sz w:val="24"/>
        </w:rPr>
      </w:pPr>
    </w:p>
    <w:p>
      <w:pPr>
        <w:adjustRightInd w:val="0"/>
        <w:snapToGrid w:val="0"/>
        <w:spacing w:line="360" w:lineRule="auto"/>
        <w:jc w:val="left"/>
        <w:rPr>
          <w:rFonts w:hint="eastAsia" w:eastAsia="黑体" w:asciiTheme="minorEastAsia" w:hAnsiTheme="minorEastAsia" w:cstheme="minorEastAsia"/>
          <w:b/>
          <w:color w:val="auto"/>
          <w:sz w:val="28"/>
          <w:szCs w:val="28"/>
          <w:lang w:eastAsia="zh-CN"/>
        </w:rPr>
      </w:pPr>
      <w:r>
        <w:rPr>
          <w:rFonts w:hint="eastAsia" w:ascii="黑体" w:hAnsi="黑体" w:eastAsia="黑体"/>
          <w:b/>
          <w:color w:val="auto"/>
          <w:sz w:val="28"/>
          <w:szCs w:val="28"/>
        </w:rPr>
        <w:t>二、采购项目名称：</w:t>
      </w:r>
      <w:r>
        <w:rPr>
          <w:rFonts w:hint="eastAsia" w:asciiTheme="minorEastAsia" w:hAnsiTheme="minorEastAsia" w:eastAsiaTheme="minorEastAsia" w:cstheme="minorEastAsia"/>
          <w:bCs/>
          <w:color w:val="auto"/>
          <w:sz w:val="24"/>
          <w:szCs w:val="24"/>
          <w:lang w:eastAsia="zh-CN"/>
        </w:rPr>
        <w:t>南方医科大学口腔医院（广东省口腔医院）影像网络系统(PACS/RIS)应用软件项目</w:t>
      </w:r>
    </w:p>
    <w:p>
      <w:pPr>
        <w:spacing w:line="360" w:lineRule="auto"/>
        <w:rPr>
          <w:rFonts w:asciiTheme="minorEastAsia" w:hAnsiTheme="minorEastAsia" w:eastAsiaTheme="minorEastAsia"/>
          <w:color w:val="auto"/>
          <w:sz w:val="24"/>
        </w:rPr>
      </w:pPr>
    </w:p>
    <w:p>
      <w:pPr>
        <w:adjustRightInd w:val="0"/>
        <w:snapToGrid w:val="0"/>
        <w:spacing w:line="360" w:lineRule="auto"/>
        <w:jc w:val="left"/>
        <w:rPr>
          <w:rFonts w:asciiTheme="minorEastAsia" w:hAnsiTheme="minorEastAsia" w:eastAsiaTheme="minorEastAsia" w:cstheme="minorEastAsia"/>
          <w:color w:val="auto"/>
          <w:sz w:val="28"/>
          <w:szCs w:val="28"/>
        </w:rPr>
      </w:pPr>
      <w:r>
        <w:rPr>
          <w:rFonts w:hint="eastAsia" w:ascii="黑体" w:hAnsi="黑体" w:eastAsia="黑体"/>
          <w:b/>
          <w:color w:val="auto"/>
          <w:sz w:val="28"/>
          <w:szCs w:val="28"/>
        </w:rPr>
        <w:t>三、采购预算及资金来源：</w:t>
      </w:r>
      <w:r>
        <w:rPr>
          <w:rFonts w:hint="eastAsia" w:asciiTheme="minorEastAsia" w:hAnsiTheme="minorEastAsia" w:eastAsiaTheme="minorEastAsia" w:cstheme="minorEastAsia"/>
          <w:bCs/>
          <w:color w:val="auto"/>
          <w:sz w:val="24"/>
          <w:szCs w:val="24"/>
        </w:rPr>
        <w:t>人民币</w:t>
      </w:r>
      <w:r>
        <w:rPr>
          <w:rFonts w:hint="eastAsia" w:asciiTheme="minorEastAsia" w:hAnsiTheme="minorEastAsia" w:eastAsiaTheme="minorEastAsia" w:cstheme="minorEastAsia"/>
          <w:color w:val="auto"/>
          <w:sz w:val="24"/>
          <w:szCs w:val="24"/>
          <w:lang w:val="en-US" w:eastAsia="zh-CN"/>
        </w:rPr>
        <w:t>250</w:t>
      </w:r>
      <w:r>
        <w:rPr>
          <w:rFonts w:hint="eastAsia" w:asciiTheme="minorEastAsia" w:hAnsiTheme="minorEastAsia" w:eastAsiaTheme="minorEastAsia" w:cstheme="minorEastAsia"/>
          <w:color w:val="auto"/>
          <w:sz w:val="24"/>
          <w:szCs w:val="24"/>
        </w:rPr>
        <w:t>万元，</w:t>
      </w:r>
      <w:r>
        <w:rPr>
          <w:rFonts w:hint="eastAsia" w:asciiTheme="minorEastAsia" w:hAnsiTheme="minorEastAsia" w:eastAsiaTheme="minorEastAsia" w:cstheme="minorEastAsia"/>
          <w:color w:val="auto"/>
          <w:sz w:val="24"/>
          <w:szCs w:val="24"/>
          <w:lang w:eastAsia="zh-CN"/>
        </w:rPr>
        <w:t>单位自有资金</w:t>
      </w:r>
      <w:r>
        <w:rPr>
          <w:rFonts w:hint="eastAsia" w:asciiTheme="minorEastAsia" w:hAnsiTheme="minorEastAsia" w:eastAsiaTheme="minorEastAsia" w:cstheme="minorEastAsia"/>
          <w:color w:val="auto"/>
          <w:sz w:val="24"/>
          <w:szCs w:val="24"/>
        </w:rPr>
        <w:t>。</w:t>
      </w:r>
    </w:p>
    <w:p>
      <w:pPr>
        <w:spacing w:line="360" w:lineRule="auto"/>
        <w:rPr>
          <w:rFonts w:asciiTheme="minorEastAsia" w:hAnsiTheme="minorEastAsia" w:eastAsiaTheme="minorEastAsia"/>
          <w:color w:val="auto"/>
          <w:sz w:val="24"/>
        </w:rPr>
      </w:pPr>
    </w:p>
    <w:p>
      <w:pPr>
        <w:adjustRightInd w:val="0"/>
        <w:snapToGrid w:val="0"/>
        <w:spacing w:line="360" w:lineRule="auto"/>
        <w:jc w:val="left"/>
        <w:rPr>
          <w:rFonts w:hint="eastAsia" w:asciiTheme="majorEastAsia" w:hAnsiTheme="majorEastAsia" w:eastAsiaTheme="majorEastAsia" w:cstheme="majorEastAsia"/>
          <w:b w:val="0"/>
          <w:bCs/>
          <w:color w:val="auto"/>
          <w:sz w:val="24"/>
          <w:lang w:val="en-US" w:eastAsia="zh-CN"/>
        </w:rPr>
      </w:pPr>
      <w:r>
        <w:rPr>
          <w:rFonts w:hint="eastAsia" w:ascii="黑体" w:hAnsi="黑体" w:eastAsia="黑体"/>
          <w:b/>
          <w:color w:val="auto"/>
          <w:sz w:val="28"/>
          <w:szCs w:val="28"/>
        </w:rPr>
        <w:t>四、交付使用期限：</w:t>
      </w:r>
      <w:r>
        <w:rPr>
          <w:rFonts w:hint="eastAsia" w:asciiTheme="majorEastAsia" w:hAnsiTheme="majorEastAsia" w:eastAsiaTheme="majorEastAsia" w:cstheme="majorEastAsia"/>
          <w:b w:val="0"/>
          <w:bCs/>
          <w:color w:val="auto"/>
          <w:sz w:val="24"/>
          <w:lang w:val="en-US" w:eastAsia="zh-CN"/>
        </w:rPr>
        <w:t>合同签订之日起1个月内</w:t>
      </w:r>
    </w:p>
    <w:p>
      <w:pPr>
        <w:spacing w:line="360" w:lineRule="auto"/>
        <w:rPr>
          <w:rFonts w:asciiTheme="minorEastAsia" w:hAnsiTheme="minorEastAsia" w:eastAsiaTheme="minorEastAsia"/>
          <w:color w:val="auto"/>
          <w:sz w:val="24"/>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五、项目内容及需求：</w:t>
      </w:r>
    </w:p>
    <w:p>
      <w:pPr>
        <w:adjustRightInd w:val="0"/>
        <w:snapToGrid w:val="0"/>
        <w:spacing w:line="360" w:lineRule="auto"/>
        <w:ind w:firstLine="480" w:firstLineChars="200"/>
        <w:jc w:val="left"/>
        <w:rPr>
          <w:rFonts w:ascii="宋体"/>
          <w:color w:val="auto"/>
          <w:sz w:val="24"/>
        </w:rPr>
      </w:pPr>
      <w:r>
        <w:rPr>
          <w:rFonts w:ascii="宋体" w:hAnsi="宋体"/>
          <w:color w:val="auto"/>
          <w:sz w:val="24"/>
        </w:rPr>
        <w:t>1.</w:t>
      </w:r>
      <w:r>
        <w:rPr>
          <w:rFonts w:hint="eastAsia" w:ascii="宋体" w:hAnsi="宋体"/>
          <w:color w:val="auto"/>
          <w:sz w:val="24"/>
        </w:rPr>
        <w:t>招标采购内容</w:t>
      </w:r>
    </w:p>
    <w:tbl>
      <w:tblPr>
        <w:tblStyle w:val="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053"/>
        <w:gridCol w:w="1230"/>
        <w:gridCol w:w="2310"/>
        <w:gridCol w:w="20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8" w:type="pct"/>
            <w:tcBorders>
              <w:top w:val="single" w:color="auto" w:sz="12" w:space="0"/>
            </w:tcBorders>
            <w:shd w:val="clear" w:color="auto" w:fill="C0C0C0"/>
            <w:vAlign w:val="center"/>
          </w:tcPr>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包 号</w:t>
            </w:r>
          </w:p>
        </w:tc>
        <w:tc>
          <w:tcPr>
            <w:tcW w:w="1190" w:type="pct"/>
            <w:tcBorders>
              <w:top w:val="single" w:color="auto" w:sz="12" w:space="0"/>
            </w:tcBorders>
            <w:shd w:val="clear" w:color="auto" w:fill="C0C0C0"/>
            <w:vAlign w:val="center"/>
          </w:tcPr>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包组内容</w:t>
            </w:r>
          </w:p>
        </w:tc>
        <w:tc>
          <w:tcPr>
            <w:tcW w:w="713" w:type="pct"/>
            <w:tcBorders>
              <w:top w:val="single" w:color="auto" w:sz="12" w:space="0"/>
            </w:tcBorders>
            <w:shd w:val="clear" w:color="auto" w:fill="C0C0C0"/>
            <w:vAlign w:val="center"/>
          </w:tcPr>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数量</w:t>
            </w:r>
          </w:p>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（单位）</w:t>
            </w:r>
          </w:p>
        </w:tc>
        <w:tc>
          <w:tcPr>
            <w:tcW w:w="1339" w:type="pct"/>
            <w:tcBorders>
              <w:top w:val="single" w:color="auto" w:sz="12" w:space="0"/>
            </w:tcBorders>
            <w:shd w:val="clear" w:color="auto" w:fill="C0C0C0"/>
            <w:vAlign w:val="center"/>
          </w:tcPr>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交付使用期限</w:t>
            </w:r>
          </w:p>
        </w:tc>
        <w:tc>
          <w:tcPr>
            <w:tcW w:w="1187" w:type="pct"/>
            <w:tcBorders>
              <w:top w:val="single" w:color="auto" w:sz="12" w:space="0"/>
            </w:tcBorders>
            <w:shd w:val="clear" w:color="auto" w:fill="C0C0C0"/>
            <w:vAlign w:val="center"/>
          </w:tcPr>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最高限价</w:t>
            </w:r>
          </w:p>
          <w:p>
            <w:pPr>
              <w:jc w:val="center"/>
              <w:rPr>
                <w:rFonts w:asciiTheme="majorEastAsia" w:hAnsiTheme="majorEastAsia" w:eastAsiaTheme="majorEastAsia" w:cstheme="majorEastAsia"/>
                <w:b/>
                <w:color w:val="auto"/>
                <w:sz w:val="24"/>
              </w:rPr>
            </w:pPr>
            <w:r>
              <w:rPr>
                <w:rFonts w:hint="eastAsia" w:asciiTheme="majorEastAsia" w:hAnsiTheme="majorEastAsia" w:eastAsiaTheme="majorEastAsia" w:cstheme="majorEastAsia"/>
                <w:b/>
                <w:color w:val="auto"/>
                <w:sz w:val="24"/>
              </w:rPr>
              <w:t>（人民币/万元）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8" w:type="pct"/>
            <w:vAlign w:val="center"/>
          </w:tcPr>
          <w:p>
            <w:pPr>
              <w:tabs>
                <w:tab w:val="left" w:pos="360"/>
              </w:tabs>
              <w:jc w:val="center"/>
              <w:rPr>
                <w:rFonts w:ascii="宋体" w:cs="宋体"/>
                <w:color w:val="auto"/>
                <w:kern w:val="0"/>
                <w:sz w:val="24"/>
              </w:rPr>
            </w:pPr>
            <w:r>
              <w:rPr>
                <w:rFonts w:hint="eastAsia" w:ascii="宋体" w:hAnsi="宋体" w:cs="宋体"/>
                <w:color w:val="auto"/>
                <w:kern w:val="0"/>
                <w:sz w:val="24"/>
              </w:rPr>
              <w:t>包一</w:t>
            </w:r>
          </w:p>
        </w:tc>
        <w:tc>
          <w:tcPr>
            <w:tcW w:w="1190" w:type="pct"/>
            <w:vAlign w:val="center"/>
          </w:tcPr>
          <w:p>
            <w:pPr>
              <w:tabs>
                <w:tab w:val="left" w:pos="360"/>
              </w:tabs>
              <w:jc w:val="center"/>
              <w:rPr>
                <w:rFonts w:ascii="宋体" w:cs="宋体"/>
                <w:color w:val="auto"/>
                <w:kern w:val="0"/>
                <w:sz w:val="24"/>
              </w:rPr>
            </w:pPr>
            <w:r>
              <w:rPr>
                <w:rFonts w:hint="eastAsia" w:ascii="宋体" w:cs="宋体"/>
                <w:color w:val="auto"/>
                <w:kern w:val="0"/>
                <w:sz w:val="24"/>
                <w:lang w:eastAsia="zh-CN"/>
              </w:rPr>
              <w:t>影像网络系统(PACS/RIS)应用软件</w:t>
            </w:r>
          </w:p>
        </w:tc>
        <w:tc>
          <w:tcPr>
            <w:tcW w:w="713" w:type="pct"/>
            <w:vAlign w:val="center"/>
          </w:tcPr>
          <w:p>
            <w:pPr>
              <w:ind w:firstLine="120" w:firstLineChars="50"/>
              <w:jc w:val="center"/>
              <w:rPr>
                <w:rFonts w:hint="eastAsia" w:ascii="宋体" w:eastAsia="宋体" w:cs="宋体"/>
                <w:color w:val="auto"/>
                <w:kern w:val="0"/>
                <w:sz w:val="24"/>
                <w:lang w:eastAsia="zh-CN"/>
              </w:rPr>
            </w:pPr>
            <w:r>
              <w:rPr>
                <w:rFonts w:hint="eastAsia" w:ascii="宋体" w:cs="宋体"/>
                <w:color w:val="auto"/>
                <w:kern w:val="0"/>
                <w:sz w:val="24"/>
                <w:lang w:eastAsia="zh-CN"/>
              </w:rPr>
              <w:t>一项</w:t>
            </w:r>
          </w:p>
        </w:tc>
        <w:tc>
          <w:tcPr>
            <w:tcW w:w="1339" w:type="pct"/>
            <w:vAlign w:val="center"/>
          </w:tcPr>
          <w:p>
            <w:pPr>
              <w:tabs>
                <w:tab w:val="left" w:pos="360"/>
              </w:tabs>
              <w:jc w:val="center"/>
              <w:rPr>
                <w:rFonts w:ascii="宋体" w:cs="宋体"/>
                <w:color w:val="auto"/>
                <w:kern w:val="0"/>
                <w:sz w:val="24"/>
              </w:rPr>
            </w:pPr>
            <w:r>
              <w:rPr>
                <w:rFonts w:hint="eastAsia" w:asciiTheme="majorEastAsia" w:hAnsiTheme="majorEastAsia" w:eastAsiaTheme="majorEastAsia" w:cstheme="majorEastAsia"/>
                <w:b w:val="0"/>
                <w:bCs/>
                <w:color w:val="auto"/>
                <w:sz w:val="24"/>
                <w:lang w:val="en-US" w:eastAsia="zh-CN"/>
              </w:rPr>
              <w:t>合同签订之日起1个月内</w:t>
            </w:r>
          </w:p>
        </w:tc>
        <w:tc>
          <w:tcPr>
            <w:tcW w:w="1187" w:type="pct"/>
            <w:vAlign w:val="center"/>
          </w:tcPr>
          <w:p>
            <w:pPr>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250</w:t>
            </w:r>
          </w:p>
        </w:tc>
      </w:tr>
    </w:tbl>
    <w:p>
      <w:pPr>
        <w:rPr>
          <w:color w:val="auto"/>
          <w:sz w:val="24"/>
        </w:rPr>
      </w:pP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2.投标人必须对包组内所有内容进行投标，不允许只对包组内的部分内容进行投标。</w:t>
      </w:r>
    </w:p>
    <w:p>
      <w:pPr>
        <w:adjustRightInd w:val="0"/>
        <w:snapToGrid w:val="0"/>
        <w:spacing w:line="360" w:lineRule="auto"/>
        <w:ind w:firstLine="480" w:firstLineChars="200"/>
        <w:jc w:val="left"/>
        <w:rPr>
          <w:rFonts w:ascii="宋体"/>
          <w:color w:val="auto"/>
          <w:sz w:val="24"/>
        </w:rPr>
      </w:pPr>
      <w:r>
        <w:rPr>
          <w:rFonts w:ascii="宋体" w:hAnsi="宋体"/>
          <w:color w:val="auto"/>
          <w:sz w:val="24"/>
        </w:rPr>
        <w:t>3.</w:t>
      </w:r>
      <w:r>
        <w:rPr>
          <w:rFonts w:hint="eastAsia" w:ascii="宋体" w:hAnsi="宋体"/>
          <w:color w:val="auto"/>
          <w:sz w:val="24"/>
        </w:rPr>
        <w:t>具体要求：详见招标文件《采购需求》。</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4.</w:t>
      </w:r>
      <w:r>
        <w:rPr>
          <w:rFonts w:hint="eastAsia" w:ascii="宋体" w:hAnsi="宋体"/>
          <w:color w:val="auto"/>
          <w:sz w:val="24"/>
        </w:rPr>
        <w:t>服务地点：采购人指定地点。</w:t>
      </w:r>
    </w:p>
    <w:p>
      <w:pPr>
        <w:adjustRightInd w:val="0"/>
        <w:snapToGrid w:val="0"/>
        <w:spacing w:line="360" w:lineRule="auto"/>
        <w:ind w:firstLine="480" w:firstLineChars="200"/>
        <w:jc w:val="left"/>
        <w:rPr>
          <w:rFonts w:ascii="宋体" w:hAnsi="宋体"/>
          <w:color w:val="auto"/>
          <w:sz w:val="24"/>
        </w:rPr>
      </w:pPr>
    </w:p>
    <w:p>
      <w:pPr>
        <w:pStyle w:val="2"/>
        <w:rPr>
          <w:color w:val="auto"/>
        </w:rPr>
      </w:pPr>
    </w:p>
    <w:p>
      <w:pPr>
        <w:adjustRightInd w:val="0"/>
        <w:snapToGrid w:val="0"/>
        <w:spacing w:line="360" w:lineRule="auto"/>
        <w:jc w:val="left"/>
        <w:rPr>
          <w:rFonts w:ascii="黑体" w:hAnsi="黑体" w:eastAsia="黑体"/>
          <w:color w:val="auto"/>
          <w:sz w:val="28"/>
          <w:szCs w:val="28"/>
        </w:rPr>
      </w:pPr>
      <w:r>
        <w:rPr>
          <w:rFonts w:hint="eastAsia" w:ascii="黑体" w:hAnsi="黑体" w:eastAsia="黑体"/>
          <w:b/>
          <w:color w:val="auto"/>
          <w:sz w:val="28"/>
          <w:szCs w:val="28"/>
        </w:rPr>
        <w:t>六、投标人资格要求</w:t>
      </w:r>
    </w:p>
    <w:p>
      <w:pPr>
        <w:adjustRightInd w:val="0"/>
        <w:snapToGrid w:val="0"/>
        <w:spacing w:line="360" w:lineRule="auto"/>
        <w:ind w:firstLine="480" w:firstLineChars="200"/>
        <w:jc w:val="left"/>
        <w:rPr>
          <w:rFonts w:hint="eastAsia" w:ascii="宋体" w:hAnsi="宋体"/>
          <w:color w:val="auto"/>
          <w:sz w:val="24"/>
        </w:rPr>
      </w:pPr>
      <w:r>
        <w:rPr>
          <w:rFonts w:ascii="宋体" w:hAnsi="宋体"/>
          <w:color w:val="auto"/>
          <w:sz w:val="24"/>
        </w:rPr>
        <w:t xml:space="preserve">1. </w:t>
      </w:r>
      <w:r>
        <w:rPr>
          <w:rFonts w:hint="eastAsia" w:ascii="宋体" w:hAnsi="宋体"/>
          <w:color w:val="auto"/>
          <w:sz w:val="24"/>
        </w:rPr>
        <w:t>具备《中华人民共和国政府采购法》第二十二条资格条件；</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（1)提供在中华人民共和国境内注册的营业执照（或事业单位法人证书，或社会团体法人登记证书，或执业许可证）、如非“多证合一”证照，</w:t>
      </w:r>
      <w:r>
        <w:rPr>
          <w:rFonts w:hint="eastAsia" w:ascii="宋体" w:hAnsi="宋体"/>
          <w:color w:val="auto"/>
          <w:sz w:val="24"/>
          <w:lang w:eastAsia="zh-CN"/>
        </w:rPr>
        <w:t>同时提供</w:t>
      </w:r>
      <w:r>
        <w:rPr>
          <w:rFonts w:hint="eastAsia" w:ascii="宋体" w:hAnsi="宋体"/>
          <w:color w:val="auto"/>
          <w:sz w:val="24"/>
        </w:rPr>
        <w:t>组织机构代码证和税务登记证复印件；如投标人为自然人的需提供自然人身份证明；</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（2）提供201</w:t>
      </w:r>
      <w:r>
        <w:rPr>
          <w:rFonts w:hint="eastAsia" w:ascii="宋体" w:hAnsi="宋体"/>
          <w:color w:val="auto"/>
          <w:sz w:val="24"/>
          <w:lang w:val="en-US" w:eastAsia="zh-CN"/>
        </w:rPr>
        <w:t>8</w:t>
      </w:r>
      <w:r>
        <w:rPr>
          <w:rFonts w:hint="eastAsia" w:ascii="宋体" w:hAnsi="宋体"/>
          <w:color w:val="auto"/>
          <w:sz w:val="24"/>
        </w:rPr>
        <w:t>年或201</w:t>
      </w:r>
      <w:r>
        <w:rPr>
          <w:rFonts w:hint="eastAsia" w:ascii="宋体" w:hAnsi="宋体"/>
          <w:color w:val="auto"/>
          <w:sz w:val="24"/>
          <w:lang w:val="en-US" w:eastAsia="zh-CN"/>
        </w:rPr>
        <w:t>9</w:t>
      </w:r>
      <w:r>
        <w:rPr>
          <w:rFonts w:hint="eastAsia" w:ascii="宋体" w:hAnsi="宋体"/>
          <w:color w:val="auto"/>
          <w:sz w:val="24"/>
        </w:rPr>
        <w:t>年的年度财务状况报告复印件，或20</w:t>
      </w:r>
      <w:r>
        <w:rPr>
          <w:rFonts w:hint="eastAsia" w:ascii="宋体" w:hAnsi="宋体"/>
          <w:color w:val="auto"/>
          <w:sz w:val="24"/>
          <w:lang w:val="en-US" w:eastAsia="zh-CN"/>
        </w:rPr>
        <w:t>20</w:t>
      </w:r>
      <w:r>
        <w:rPr>
          <w:rFonts w:hint="eastAsia" w:ascii="宋体" w:hAnsi="宋体"/>
          <w:color w:val="auto"/>
          <w:sz w:val="24"/>
        </w:rPr>
        <w:t>年任意1个月的财务状况报告复印件；或银行出具的资信证明材料复印件；</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（3）提供20</w:t>
      </w:r>
      <w:r>
        <w:rPr>
          <w:rFonts w:hint="eastAsia" w:ascii="宋体" w:hAnsi="宋体"/>
          <w:color w:val="auto"/>
          <w:sz w:val="24"/>
          <w:lang w:val="en-US" w:eastAsia="zh-CN"/>
        </w:rPr>
        <w:t>20</w:t>
      </w:r>
      <w:r>
        <w:rPr>
          <w:rFonts w:hint="eastAsia" w:ascii="宋体" w:hAnsi="宋体"/>
          <w:color w:val="auto"/>
          <w:sz w:val="24"/>
        </w:rPr>
        <w:t>年任意一个月的依法缴纳税收的证明（纳税凭证）复印件，如依法免税的，应提供相应文件证明其依法免税；</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（4）提供20</w:t>
      </w:r>
      <w:r>
        <w:rPr>
          <w:rFonts w:hint="eastAsia" w:ascii="宋体" w:hAnsi="宋体"/>
          <w:color w:val="auto"/>
          <w:sz w:val="24"/>
          <w:lang w:val="en-US" w:eastAsia="zh-CN"/>
        </w:rPr>
        <w:t>20</w:t>
      </w:r>
      <w:r>
        <w:rPr>
          <w:rFonts w:hint="eastAsia" w:ascii="宋体" w:hAnsi="宋体"/>
          <w:color w:val="auto"/>
          <w:sz w:val="24"/>
        </w:rPr>
        <w:t>年任意一个月的依法缴纳社会保险的证明（缴费凭证）复印件，如依法不需要缴纳社会保障资金的，应提供相应文件证明其依法不需要缴纳社会保障资金；</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（5）提供履行合同所必需的设备和专业技术能力的书面声明；</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（6）提供参加政府采购活动前3年内在经营活动中没有重大违法记录的书面声明。</w:t>
      </w:r>
    </w:p>
    <w:p>
      <w:pPr>
        <w:adjustRightInd w:val="0"/>
        <w:snapToGrid w:val="0"/>
        <w:spacing w:line="360" w:lineRule="auto"/>
        <w:ind w:left="1" w:firstLine="480" w:firstLineChars="200"/>
        <w:jc w:val="left"/>
        <w:rPr>
          <w:rFonts w:ascii="宋体" w:hAnsi="宋体"/>
          <w:color w:val="auto"/>
          <w:sz w:val="24"/>
        </w:rPr>
      </w:pPr>
      <w:r>
        <w:rPr>
          <w:rFonts w:hint="eastAsia" w:ascii="宋体" w:hAnsi="宋体"/>
          <w:color w:val="auto"/>
          <w:sz w:val="24"/>
          <w:lang w:val="en-US" w:eastAsia="zh-CN"/>
        </w:rPr>
        <w:t>2</w:t>
      </w:r>
      <w:r>
        <w:rPr>
          <w:rFonts w:ascii="宋体" w:hAnsi="宋体"/>
          <w:color w:val="auto"/>
          <w:sz w:val="24"/>
        </w:rPr>
        <w:t>.</w:t>
      </w:r>
      <w:r>
        <w:rPr>
          <w:rFonts w:hint="eastAsia" w:ascii="宋体" w:hAnsi="宋体"/>
          <w:color w:val="auto"/>
          <w:sz w:val="24"/>
        </w:rPr>
        <w:t xml:space="preserve"> 在“信用中国”网站（</w:t>
      </w:r>
      <w:r>
        <w:rPr>
          <w:rFonts w:ascii="宋体" w:hAnsi="宋体"/>
          <w:color w:val="auto"/>
          <w:sz w:val="24"/>
        </w:rPr>
        <w:t>www.creditchina.gov.cn</w:t>
      </w:r>
      <w:r>
        <w:rPr>
          <w:rFonts w:hint="eastAsia" w:ascii="宋体" w:hAnsi="宋体"/>
          <w:color w:val="auto"/>
          <w:sz w:val="24"/>
        </w:rPr>
        <w:t>）、中国政府采购网（</w:t>
      </w:r>
      <w:r>
        <w:rPr>
          <w:rFonts w:ascii="宋体" w:hAnsi="宋体"/>
          <w:color w:val="auto"/>
          <w:sz w:val="24"/>
        </w:rPr>
        <w:t>www.ccgp.gov.cn</w:t>
      </w:r>
      <w:r>
        <w:rPr>
          <w:rFonts w:hint="eastAsia" w:ascii="宋体" w:hAnsi="宋体"/>
          <w:color w:val="auto"/>
          <w:sz w:val="24"/>
        </w:rPr>
        <w:t>）没有被列入失信被执行人、重大税收违法案件当事人名单、政府采购严重违法失信行为记录名单及其他不符合规定条件的供应商；</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 单位负责人为同一人或者存在直接控股、管理关系的不同供应商，不得参加同一合同项下的政府采购活动；</w:t>
      </w:r>
    </w:p>
    <w:p>
      <w:pPr>
        <w:adjustRightInd w:val="0"/>
        <w:snapToGrid w:val="0"/>
        <w:spacing w:line="360" w:lineRule="auto"/>
        <w:ind w:firstLine="480" w:firstLineChars="200"/>
        <w:jc w:val="left"/>
        <w:rPr>
          <w:rFonts w:hint="eastAsia" w:ascii="宋体" w:hAnsi="宋体"/>
          <w:color w:val="auto"/>
          <w:sz w:val="24"/>
          <w:lang w:eastAsia="zh-CN"/>
        </w:rPr>
      </w:pPr>
      <w:r>
        <w:rPr>
          <w:rFonts w:hint="eastAsia" w:ascii="宋体" w:hAnsi="宋体"/>
          <w:color w:val="auto"/>
          <w:sz w:val="24"/>
          <w:lang w:val="en-US" w:eastAsia="zh-CN"/>
        </w:rPr>
        <w:t>4</w:t>
      </w:r>
      <w:r>
        <w:rPr>
          <w:rFonts w:hint="eastAsia" w:ascii="宋体" w:hAnsi="宋体"/>
          <w:color w:val="auto"/>
          <w:sz w:val="24"/>
        </w:rPr>
        <w:t>. 为采购项目提供整体设计、规范编制或者项目管理、监理、检测等服务的供应商，不得再参加该采购项目的其他采购活动；</w:t>
      </w:r>
    </w:p>
    <w:p>
      <w:pPr>
        <w:adjustRightInd w:val="0"/>
        <w:snapToGrid w:val="0"/>
        <w:spacing w:line="360" w:lineRule="auto"/>
        <w:ind w:firstLine="480" w:firstLineChars="200"/>
        <w:jc w:val="left"/>
        <w:rPr>
          <w:rFonts w:hint="eastAsia" w:ascii="宋体" w:hAnsi="宋体"/>
          <w:color w:val="auto"/>
          <w:sz w:val="24"/>
          <w:lang w:val="en-US" w:eastAsia="zh-CN"/>
        </w:rPr>
        <w:sectPr>
          <w:footerReference r:id="rId3" w:type="default"/>
          <w:footerReference r:id="rId4" w:type="even"/>
          <w:pgSz w:w="11906" w:h="16838"/>
          <w:pgMar w:top="1440" w:right="1701" w:bottom="1418" w:left="1797" w:header="851" w:footer="851" w:gutter="0"/>
          <w:pgNumType w:fmt="decimal" w:start="1"/>
          <w:cols w:space="720" w:num="1"/>
          <w:docGrid w:type="lines" w:linePitch="312" w:charSpace="0"/>
        </w:sectPr>
      </w:pPr>
      <w:r>
        <w:rPr>
          <w:rFonts w:hint="eastAsia" w:ascii="宋体" w:hAnsi="宋体"/>
          <w:color w:val="auto"/>
          <w:sz w:val="24"/>
          <w:lang w:val="en-US" w:eastAsia="zh-CN"/>
        </w:rPr>
        <w:t>5、本项目不接受联合体投标。</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七、招标文件的获取</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符合资格的供应商应当在2020年</w:t>
      </w:r>
      <w:r>
        <w:rPr>
          <w:rFonts w:hint="eastAsia" w:ascii="宋体" w:hAnsi="宋体"/>
          <w:color w:val="auto"/>
          <w:sz w:val="24"/>
          <w:u w:val="single"/>
          <w:lang w:val="en-US" w:eastAsia="zh-CN"/>
        </w:rPr>
        <w:t>10</w:t>
      </w:r>
      <w:r>
        <w:rPr>
          <w:rFonts w:hint="eastAsia" w:ascii="宋体" w:hAnsi="宋体"/>
          <w:color w:val="auto"/>
          <w:sz w:val="24"/>
        </w:rPr>
        <w:t>月</w:t>
      </w:r>
      <w:r>
        <w:rPr>
          <w:rFonts w:hint="eastAsia" w:ascii="宋体" w:hAnsi="宋体"/>
          <w:color w:val="auto"/>
          <w:sz w:val="24"/>
          <w:u w:val="single"/>
          <w:lang w:val="en-US" w:eastAsia="zh-CN"/>
        </w:rPr>
        <w:t>31</w:t>
      </w:r>
      <w:r>
        <w:rPr>
          <w:rFonts w:hint="eastAsia" w:ascii="宋体" w:hAnsi="宋体"/>
          <w:color w:val="auto"/>
          <w:sz w:val="24"/>
        </w:rPr>
        <w:t>日至2020年</w:t>
      </w:r>
      <w:r>
        <w:rPr>
          <w:rFonts w:hint="eastAsia" w:ascii="宋体" w:hAnsi="宋体"/>
          <w:color w:val="auto"/>
          <w:sz w:val="24"/>
          <w:u w:val="single"/>
          <w:lang w:val="en-US" w:eastAsia="zh-CN"/>
        </w:rPr>
        <w:t>11</w:t>
      </w:r>
      <w:r>
        <w:rPr>
          <w:rFonts w:hint="eastAsia" w:ascii="宋体" w:hAnsi="宋体"/>
          <w:color w:val="auto"/>
          <w:sz w:val="24"/>
        </w:rPr>
        <w:t>月</w:t>
      </w:r>
      <w:r>
        <w:rPr>
          <w:rFonts w:hint="eastAsia" w:ascii="宋体" w:hAnsi="宋体"/>
          <w:color w:val="auto"/>
          <w:sz w:val="24"/>
          <w:u w:val="single"/>
          <w:lang w:val="en-US" w:eastAsia="zh-CN"/>
        </w:rPr>
        <w:t>19</w:t>
      </w:r>
      <w:r>
        <w:rPr>
          <w:rFonts w:hint="eastAsia" w:ascii="宋体" w:hAnsi="宋体"/>
          <w:color w:val="auto"/>
          <w:sz w:val="24"/>
        </w:rPr>
        <w:t>日期间获取招标文件。</w:t>
      </w:r>
    </w:p>
    <w:p>
      <w:pPr>
        <w:pStyle w:val="16"/>
        <w:numPr>
          <w:ilvl w:val="0"/>
          <w:numId w:val="1"/>
        </w:numPr>
        <w:adjustRightInd w:val="0"/>
        <w:snapToGrid w:val="0"/>
        <w:spacing w:line="360" w:lineRule="auto"/>
        <w:ind w:firstLineChars="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方式一：</w:t>
      </w:r>
    </w:p>
    <w:p>
      <w:pPr>
        <w:adjustRightInd w:val="0"/>
        <w:snapToGrid w:val="0"/>
        <w:spacing w:line="360" w:lineRule="auto"/>
        <w:ind w:firstLine="42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供应商可登陆广东华鑫招标采购有限公司官网（</w:t>
      </w:r>
      <w:r>
        <w:rPr>
          <w:rFonts w:ascii="微软雅黑" w:hAnsi="微软雅黑" w:eastAsia="微软雅黑" w:cs="宋体"/>
          <w:color w:val="auto"/>
          <w:kern w:val="0"/>
          <w:szCs w:val="21"/>
        </w:rPr>
        <w:t>http://www.gdhuaxin.cn/</w:t>
      </w:r>
      <w:r>
        <w:rPr>
          <w:rFonts w:hint="eastAsia" w:ascii="微软雅黑" w:hAnsi="微软雅黑" w:eastAsia="微软雅黑" w:cs="宋体"/>
          <w:color w:val="auto"/>
          <w:kern w:val="0"/>
          <w:szCs w:val="21"/>
        </w:rPr>
        <w:t>），在左下角“系统入口”点击登录，在“中招联合平台”注册成功后登录搜索本项目名称，选择对应项目点击“我要参与”进行登记，并按照以下要求提供登记资料，资料提交后请与招标代理机构联系，联系电话详见招标代理机构联系方式（注：通过“中招平台”获取招标文件的供应商，可通过平台在线申请电子投标保函），具体事项如下：</w:t>
      </w:r>
      <w:r>
        <w:rPr>
          <w:rFonts w:hint="eastAsia" w:ascii="微软雅黑" w:hAnsi="微软雅黑" w:eastAsia="微软雅黑" w:cs="宋体"/>
          <w:color w:val="auto"/>
          <w:kern w:val="0"/>
          <w:szCs w:val="21"/>
        </w:rPr>
        <w:br w:type="textWrapping"/>
      </w:r>
      <w:r>
        <w:rPr>
          <w:rFonts w:hint="eastAsia" w:ascii="微软雅黑" w:hAnsi="微软雅黑" w:eastAsia="微软雅黑" w:cs="宋体"/>
          <w:color w:val="auto"/>
          <w:kern w:val="0"/>
          <w:szCs w:val="21"/>
        </w:rPr>
        <w:t>（1）供应商在“中招平台”上填写“购标申请”，并上传以下登记资料：</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获取招标文件时，须上传以下加盖电子签章的证明文件：</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ascii="微软雅黑" w:hAnsi="微软雅黑" w:eastAsia="微软雅黑" w:cs="宋体"/>
          <w:color w:val="auto"/>
          <w:kern w:val="0"/>
          <w:szCs w:val="21"/>
        </w:rPr>
        <w:fldChar w:fldCharType="begin"/>
      </w:r>
      <w:r>
        <w:rPr>
          <w:rFonts w:ascii="微软雅黑" w:hAnsi="微软雅黑" w:eastAsia="微软雅黑" w:cs="宋体"/>
          <w:color w:val="auto"/>
          <w:kern w:val="0"/>
          <w:szCs w:val="21"/>
        </w:rPr>
        <w:instrText xml:space="preserve"> </w:instrText>
      </w:r>
      <w:r>
        <w:rPr>
          <w:rFonts w:hint="eastAsia" w:ascii="微软雅黑" w:hAnsi="微软雅黑" w:eastAsia="微软雅黑" w:cs="宋体"/>
          <w:color w:val="auto"/>
          <w:kern w:val="0"/>
          <w:szCs w:val="21"/>
        </w:rPr>
        <w:instrText xml:space="preserve">= 1 \* GB3</w:instrText>
      </w:r>
      <w:r>
        <w:rPr>
          <w:rFonts w:ascii="微软雅黑" w:hAnsi="微软雅黑" w:eastAsia="微软雅黑" w:cs="宋体"/>
          <w:color w:val="auto"/>
          <w:kern w:val="0"/>
          <w:szCs w:val="21"/>
        </w:rPr>
        <w:instrText xml:space="preserve"> </w:instrText>
      </w:r>
      <w:r>
        <w:rPr>
          <w:rFonts w:ascii="微软雅黑" w:hAnsi="微软雅黑" w:eastAsia="微软雅黑" w:cs="宋体"/>
          <w:color w:val="auto"/>
          <w:kern w:val="0"/>
          <w:szCs w:val="21"/>
        </w:rPr>
        <w:fldChar w:fldCharType="separate"/>
      </w:r>
      <w:r>
        <w:rPr>
          <w:rFonts w:hint="eastAsia" w:ascii="微软雅黑" w:hAnsi="微软雅黑" w:eastAsia="微软雅黑" w:cs="宋体"/>
          <w:color w:val="auto"/>
          <w:kern w:val="0"/>
          <w:szCs w:val="21"/>
        </w:rPr>
        <w:t>①</w:t>
      </w:r>
      <w:r>
        <w:rPr>
          <w:rFonts w:ascii="微软雅黑" w:hAnsi="微软雅黑" w:eastAsia="微软雅黑" w:cs="宋体"/>
          <w:color w:val="auto"/>
          <w:kern w:val="0"/>
          <w:szCs w:val="21"/>
        </w:rPr>
        <w:fldChar w:fldCharType="end"/>
      </w:r>
      <w:r>
        <w:rPr>
          <w:rFonts w:hint="eastAsia" w:ascii="微软雅黑" w:hAnsi="微软雅黑" w:eastAsia="微软雅黑" w:cs="宋体"/>
          <w:color w:val="auto"/>
          <w:kern w:val="0"/>
          <w:szCs w:val="21"/>
        </w:rPr>
        <w:t>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20" w:firstLineChars="200"/>
        <w:rPr>
          <w:rFonts w:hint="eastAsia" w:ascii="微软雅黑" w:hAnsi="微软雅黑" w:eastAsia="微软雅黑" w:cs="宋体"/>
          <w:color w:val="auto"/>
          <w:kern w:val="0"/>
          <w:szCs w:val="21"/>
        </w:rPr>
      </w:pPr>
      <w:r>
        <w:rPr>
          <w:rFonts w:ascii="微软雅黑" w:hAnsi="微软雅黑" w:eastAsia="微软雅黑" w:cs="宋体"/>
          <w:color w:val="auto"/>
          <w:kern w:val="0"/>
          <w:szCs w:val="21"/>
        </w:rPr>
        <w:fldChar w:fldCharType="begin"/>
      </w:r>
      <w:r>
        <w:rPr>
          <w:rFonts w:ascii="微软雅黑" w:hAnsi="微软雅黑" w:eastAsia="微软雅黑" w:cs="宋体"/>
          <w:color w:val="auto"/>
          <w:kern w:val="0"/>
          <w:szCs w:val="21"/>
        </w:rPr>
        <w:instrText xml:space="preserve"> </w:instrText>
      </w:r>
      <w:r>
        <w:rPr>
          <w:rFonts w:hint="eastAsia" w:ascii="微软雅黑" w:hAnsi="微软雅黑" w:eastAsia="微软雅黑" w:cs="宋体"/>
          <w:color w:val="auto"/>
          <w:kern w:val="0"/>
          <w:szCs w:val="21"/>
        </w:rPr>
        <w:instrText xml:space="preserve">= 2 \* GB3</w:instrText>
      </w:r>
      <w:r>
        <w:rPr>
          <w:rFonts w:ascii="微软雅黑" w:hAnsi="微软雅黑" w:eastAsia="微软雅黑" w:cs="宋体"/>
          <w:color w:val="auto"/>
          <w:kern w:val="0"/>
          <w:szCs w:val="21"/>
        </w:rPr>
        <w:instrText xml:space="preserve"> </w:instrText>
      </w:r>
      <w:r>
        <w:rPr>
          <w:rFonts w:ascii="微软雅黑" w:hAnsi="微软雅黑" w:eastAsia="微软雅黑" w:cs="宋体"/>
          <w:color w:val="auto"/>
          <w:kern w:val="0"/>
          <w:szCs w:val="21"/>
        </w:rPr>
        <w:fldChar w:fldCharType="separate"/>
      </w:r>
      <w:r>
        <w:rPr>
          <w:rFonts w:hint="eastAsia" w:ascii="微软雅黑" w:hAnsi="微软雅黑" w:eastAsia="微软雅黑" w:cs="宋体"/>
          <w:color w:val="auto"/>
          <w:kern w:val="0"/>
          <w:szCs w:val="21"/>
        </w:rPr>
        <w:t>②</w:t>
      </w:r>
      <w:r>
        <w:rPr>
          <w:rFonts w:ascii="微软雅黑" w:hAnsi="微软雅黑" w:eastAsia="微软雅黑" w:cs="宋体"/>
          <w:color w:val="auto"/>
          <w:kern w:val="0"/>
          <w:szCs w:val="21"/>
        </w:rPr>
        <w:fldChar w:fldCharType="end"/>
      </w:r>
      <w:r>
        <w:rPr>
          <w:rFonts w:hint="eastAsia" w:ascii="微软雅黑" w:hAnsi="微软雅黑" w:eastAsia="微软雅黑" w:cs="宋体"/>
          <w:color w:val="auto"/>
          <w:kern w:val="0"/>
          <w:szCs w:val="21"/>
        </w:rPr>
        <w:t>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③登录广东华鑫招标采购有限公司官（http://www.gdhuaxin.cn/）下载《招标文件购买登记表》按要求填写好相关内容；</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（2）招标文件每套售价人民币</w:t>
      </w:r>
      <w:r>
        <w:rPr>
          <w:rFonts w:hint="eastAsia" w:ascii="微软雅黑" w:hAnsi="微软雅黑" w:eastAsia="微软雅黑" w:cs="宋体"/>
          <w:color w:val="auto"/>
          <w:kern w:val="0"/>
          <w:szCs w:val="21"/>
          <w:lang w:val="en-US" w:eastAsia="zh-CN"/>
        </w:rPr>
        <w:t>300</w:t>
      </w:r>
      <w:r>
        <w:rPr>
          <w:rFonts w:hint="eastAsia" w:ascii="微软雅黑" w:hAnsi="微软雅黑" w:eastAsia="微软雅黑" w:cs="宋体"/>
          <w:color w:val="auto"/>
          <w:kern w:val="0"/>
          <w:szCs w:val="21"/>
        </w:rPr>
        <w:t>元整（招标文件费发票由我司开具，纸质发票可邮寄），“中招平台”的平台使用费由平台收取（平台服务费发票由“中招平台”开具，供应商在支付成功后3日内通过平台“发票管理”模块自行下载），供应商缴纳费用成功后即可在线下载招标文件；</w:t>
      </w:r>
    </w:p>
    <w:p>
      <w:pPr>
        <w:adjustRightInd w:val="0"/>
        <w:snapToGrid w:val="0"/>
        <w:spacing w:line="360" w:lineRule="auto"/>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3</w:t>
      </w:r>
      <w:r>
        <w:rPr>
          <w:rFonts w:hint="eastAsia" w:ascii="微软雅黑" w:hAnsi="微软雅黑" w:eastAsia="微软雅黑" w:cs="宋体"/>
          <w:color w:val="auto"/>
          <w:kern w:val="0"/>
          <w:szCs w:val="21"/>
        </w:rPr>
        <w:t>）供应商可在“中招平台”网站的首页“帮助中心”内下载操作手册，并根据操作手册的提示进行注册、登录、购标、发票开具等操作。“中招平台”技术咨询电话：010-86397110（服务时间为工作日的上午9:00至12:00，下午1:30到5:00）。</w:t>
      </w:r>
    </w:p>
    <w:p>
      <w:pPr>
        <w:adjustRightInd w:val="0"/>
        <w:snapToGrid w:val="0"/>
        <w:spacing w:line="360" w:lineRule="auto"/>
        <w:ind w:firstLine="420" w:firstLineChars="20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方式二：</w:t>
      </w:r>
      <w:r>
        <w:rPr>
          <w:rFonts w:ascii="微软雅黑" w:hAnsi="微软雅黑" w:eastAsia="微软雅黑" w:cs="宋体"/>
          <w:color w:val="auto"/>
          <w:kern w:val="0"/>
          <w:szCs w:val="21"/>
        </w:rPr>
        <w:t xml:space="preserve"> </w:t>
      </w:r>
    </w:p>
    <w:p>
      <w:pPr>
        <w:adjustRightInd w:val="0"/>
        <w:snapToGrid w:val="0"/>
        <w:spacing w:line="360" w:lineRule="auto"/>
        <w:ind w:firstLine="420" w:firstLineChars="200"/>
        <w:jc w:val="left"/>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（1）供应商可前往广东华鑫招标采购有限公司进行现场登记，现场填写购买文件登记表，并携带以下资料且加盖公章前来购买招标文件：</w:t>
      </w:r>
      <w:r>
        <w:rPr>
          <w:rFonts w:hint="eastAsia" w:ascii="微软雅黑" w:hAnsi="微软雅黑" w:eastAsia="微软雅黑" w:cs="宋体"/>
          <w:color w:val="auto"/>
          <w:kern w:val="0"/>
          <w:szCs w:val="21"/>
        </w:rPr>
        <w:br w:type="textWrapping"/>
      </w:r>
      <w:r>
        <w:rPr>
          <w:rFonts w:hint="eastAsia" w:ascii="微软雅黑" w:hAnsi="微软雅黑" w:eastAsia="微软雅黑" w:cs="宋体"/>
          <w:color w:val="auto"/>
          <w:kern w:val="0"/>
          <w:szCs w:val="21"/>
        </w:rPr>
        <w:t>以下加盖电子签章的证明文件：</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（1）法定代表人证明书或法定代表人授权委托书、身份证明复印件；提供法定代表人授权委托书的，需附法定代表人证明书。</w:t>
      </w:r>
    </w:p>
    <w:p>
      <w:pPr>
        <w:tabs>
          <w:tab w:val="left" w:pos="540"/>
          <w:tab w:val="left" w:pos="900"/>
        </w:tabs>
        <w:snapToGrid w:val="0"/>
        <w:spacing w:line="360" w:lineRule="auto"/>
        <w:ind w:firstLine="420" w:firstLineChars="200"/>
        <w:rPr>
          <w:rFonts w:ascii="微软雅黑" w:hAnsi="微软雅黑" w:eastAsia="微软雅黑" w:cs="宋体"/>
          <w:color w:val="auto"/>
          <w:kern w:val="0"/>
          <w:szCs w:val="21"/>
        </w:rPr>
      </w:pPr>
      <w:r>
        <w:rPr>
          <w:rFonts w:hint="eastAsia" w:ascii="微软雅黑" w:hAnsi="微软雅黑" w:eastAsia="微软雅黑" w:cs="宋体"/>
          <w:color w:val="auto"/>
          <w:kern w:val="0"/>
          <w:szCs w:val="21"/>
        </w:rPr>
        <w:t>（2）提供在中华人民共和国境内注册的营业执照（或事业单位法人证书，或社会团体法人登记证书，或执业许可证）、如非“多证合一”证照，同时提供组织机构代码证和税务登记证复印件；如投标人为自然人的需提供自然人身份证明；</w:t>
      </w:r>
    </w:p>
    <w:p>
      <w:pPr>
        <w:tabs>
          <w:tab w:val="left" w:pos="540"/>
          <w:tab w:val="left" w:pos="900"/>
        </w:tabs>
        <w:snapToGrid w:val="0"/>
        <w:spacing w:line="360" w:lineRule="auto"/>
        <w:ind w:firstLine="420" w:firstLineChars="200"/>
        <w:rPr>
          <w:rFonts w:ascii="宋体" w:hAnsi="宋体"/>
          <w:color w:val="auto"/>
          <w:sz w:val="24"/>
        </w:rPr>
      </w:pP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3</w:t>
      </w:r>
      <w:r>
        <w:rPr>
          <w:rFonts w:hint="eastAsia" w:ascii="微软雅黑" w:hAnsi="微软雅黑" w:eastAsia="微软雅黑" w:cs="宋体"/>
          <w:color w:val="auto"/>
          <w:kern w:val="0"/>
          <w:szCs w:val="21"/>
        </w:rPr>
        <w:t>）现场登记时间为工作日的上午9：00-12：00，下午14：30-17：30（法定节假日除外）。</w:t>
      </w:r>
      <w:r>
        <w:rPr>
          <w:rFonts w:hint="eastAsia" w:ascii="微软雅黑" w:hAnsi="微软雅黑" w:eastAsia="微软雅黑" w:cs="宋体"/>
          <w:color w:val="auto"/>
          <w:kern w:val="0"/>
          <w:szCs w:val="21"/>
        </w:rPr>
        <w:br w:type="textWrapping"/>
      </w:r>
      <w:r>
        <w:rPr>
          <w:rFonts w:hint="eastAsia" w:ascii="微软雅黑" w:hAnsi="微软雅黑" w:eastAsia="微软雅黑" w:cs="宋体"/>
          <w:color w:val="auto"/>
          <w:kern w:val="0"/>
          <w:szCs w:val="21"/>
        </w:rPr>
        <w:t>（</w:t>
      </w:r>
      <w:r>
        <w:rPr>
          <w:rFonts w:ascii="微软雅黑" w:hAnsi="微软雅黑" w:eastAsia="微软雅黑" w:cs="宋体"/>
          <w:color w:val="auto"/>
          <w:kern w:val="0"/>
          <w:szCs w:val="21"/>
        </w:rPr>
        <w:t>4</w:t>
      </w:r>
      <w:r>
        <w:rPr>
          <w:rFonts w:hint="eastAsia" w:ascii="微软雅黑" w:hAnsi="微软雅黑" w:eastAsia="微软雅黑" w:cs="宋体"/>
          <w:color w:val="auto"/>
          <w:kern w:val="0"/>
          <w:szCs w:val="21"/>
        </w:rPr>
        <w:t>）招标文件每套售价人民币</w:t>
      </w:r>
      <w:r>
        <w:rPr>
          <w:rFonts w:hint="eastAsia" w:ascii="微软雅黑" w:hAnsi="微软雅黑" w:eastAsia="微软雅黑" w:cs="宋体"/>
          <w:color w:val="auto"/>
          <w:kern w:val="0"/>
          <w:szCs w:val="21"/>
          <w:lang w:val="en-US" w:eastAsia="zh-CN"/>
        </w:rPr>
        <w:t>300</w:t>
      </w:r>
      <w:r>
        <w:rPr>
          <w:rFonts w:hint="eastAsia" w:ascii="微软雅黑" w:hAnsi="微软雅黑" w:eastAsia="微软雅黑" w:cs="宋体"/>
          <w:color w:val="auto"/>
          <w:kern w:val="0"/>
          <w:szCs w:val="21"/>
        </w:rPr>
        <w:t>元整（售后不退）</w:t>
      </w:r>
      <w:r>
        <w:rPr>
          <w:rFonts w:hint="eastAsia" w:ascii="宋体"/>
          <w:color w:val="auto"/>
          <w:sz w:val="24"/>
        </w:rPr>
        <w:t>。</w:t>
      </w:r>
    </w:p>
    <w:p>
      <w:pPr>
        <w:tabs>
          <w:tab w:val="left" w:pos="540"/>
          <w:tab w:val="left" w:pos="900"/>
        </w:tabs>
        <w:snapToGrid w:val="0"/>
        <w:spacing w:line="360" w:lineRule="auto"/>
        <w:ind w:firstLine="480" w:firstLineChars="200"/>
        <w:rPr>
          <w:rFonts w:ascii="宋体" w:hAnsi="宋体"/>
          <w:color w:val="auto"/>
          <w:sz w:val="24"/>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八、现场考察及招标答疑会</w:t>
      </w:r>
    </w:p>
    <w:p>
      <w:pPr>
        <w:adjustRightInd w:val="0"/>
        <w:snapToGrid w:val="0"/>
        <w:spacing w:line="360" w:lineRule="auto"/>
        <w:ind w:firstLine="480" w:firstLineChars="200"/>
        <w:jc w:val="left"/>
        <w:rPr>
          <w:rFonts w:ascii="宋体" w:cs="宋体"/>
          <w:color w:val="auto"/>
          <w:sz w:val="24"/>
          <w:szCs w:val="22"/>
        </w:rPr>
      </w:pPr>
      <w:r>
        <w:rPr>
          <w:rFonts w:ascii="宋体" w:hAnsi="宋体" w:cs="宋体"/>
          <w:color w:val="auto"/>
          <w:sz w:val="24"/>
          <w:szCs w:val="22"/>
        </w:rPr>
        <w:t xml:space="preserve">1. </w:t>
      </w:r>
      <w:r>
        <w:rPr>
          <w:rFonts w:hint="eastAsia" w:ascii="宋体" w:hAnsi="宋体" w:cs="宋体"/>
          <w:color w:val="auto"/>
          <w:sz w:val="24"/>
          <w:szCs w:val="22"/>
        </w:rPr>
        <w:t>本项目不组织现场考察；</w:t>
      </w:r>
    </w:p>
    <w:p>
      <w:pPr>
        <w:adjustRightInd w:val="0"/>
        <w:snapToGrid w:val="0"/>
        <w:spacing w:line="360" w:lineRule="auto"/>
        <w:ind w:firstLine="480" w:firstLineChars="200"/>
        <w:jc w:val="left"/>
        <w:rPr>
          <w:rFonts w:ascii="宋体" w:hAnsi="宋体"/>
          <w:color w:val="auto"/>
          <w:sz w:val="24"/>
        </w:rPr>
      </w:pPr>
      <w:r>
        <w:rPr>
          <w:rFonts w:ascii="宋体" w:hAnsi="宋体" w:cs="宋体"/>
          <w:color w:val="auto"/>
          <w:sz w:val="24"/>
          <w:szCs w:val="22"/>
        </w:rPr>
        <w:t xml:space="preserve">2. </w:t>
      </w:r>
      <w:r>
        <w:rPr>
          <w:rFonts w:hint="eastAsia" w:ascii="宋体" w:hAnsi="宋体"/>
          <w:color w:val="auto"/>
          <w:sz w:val="24"/>
        </w:rPr>
        <w:t>本项目不举行集中答疑会。</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jc w:val="left"/>
        <w:rPr>
          <w:rFonts w:ascii="宋体" w:hAnsi="宋体"/>
          <w:bCs/>
          <w:color w:val="auto"/>
          <w:sz w:val="24"/>
        </w:rPr>
      </w:pPr>
      <w:r>
        <w:rPr>
          <w:rFonts w:hint="eastAsia" w:ascii="黑体" w:hAnsi="黑体" w:eastAsia="黑体"/>
          <w:b/>
          <w:color w:val="auto"/>
          <w:sz w:val="28"/>
          <w:szCs w:val="28"/>
        </w:rPr>
        <w:t>九、提交投标文件时间：</w:t>
      </w:r>
      <w:r>
        <w:rPr>
          <w:rFonts w:hint="eastAsia" w:ascii="宋体" w:hAnsi="宋体" w:cs="Times New Roman"/>
          <w:bCs/>
          <w:color w:val="auto"/>
          <w:sz w:val="24"/>
        </w:rPr>
        <w:t>2020年</w:t>
      </w:r>
      <w:r>
        <w:rPr>
          <w:rFonts w:hint="eastAsia" w:ascii="宋体" w:hAnsi="宋体" w:cs="Times New Roman"/>
          <w:bCs/>
          <w:color w:val="auto"/>
          <w:sz w:val="24"/>
          <w:lang w:val="en-US" w:eastAsia="zh-CN"/>
        </w:rPr>
        <w:t>11</w:t>
      </w:r>
      <w:r>
        <w:rPr>
          <w:rFonts w:hint="eastAsia" w:ascii="宋体" w:hAnsi="宋体" w:cs="Times New Roman"/>
          <w:bCs/>
          <w:color w:val="auto"/>
          <w:sz w:val="24"/>
        </w:rPr>
        <w:t>月</w:t>
      </w:r>
      <w:r>
        <w:rPr>
          <w:rFonts w:hint="eastAsia" w:ascii="宋体" w:hAnsi="宋体" w:cs="Times New Roman"/>
          <w:bCs/>
          <w:color w:val="auto"/>
          <w:sz w:val="24"/>
          <w:lang w:val="en-US" w:eastAsia="zh-CN"/>
        </w:rPr>
        <w:t>20</w:t>
      </w:r>
      <w:r>
        <w:rPr>
          <w:rFonts w:hint="eastAsia" w:ascii="宋体" w:hAnsi="宋体" w:cs="Times New Roman"/>
          <w:bCs/>
          <w:color w:val="auto"/>
          <w:sz w:val="24"/>
        </w:rPr>
        <w:t>日</w:t>
      </w:r>
      <w:r>
        <w:rPr>
          <w:rFonts w:hint="eastAsia" w:ascii="宋体" w:hAnsi="宋体" w:cs="Times New Roman"/>
          <w:bCs/>
          <w:color w:val="auto"/>
          <w:sz w:val="24"/>
          <w:lang w:val="en-US" w:eastAsia="zh-CN"/>
        </w:rPr>
        <w:t>10</w:t>
      </w:r>
      <w:r>
        <w:rPr>
          <w:rFonts w:hint="eastAsia" w:ascii="宋体" w:hAnsi="宋体" w:cs="Times New Roman"/>
          <w:bCs/>
          <w:color w:val="auto"/>
          <w:sz w:val="24"/>
        </w:rPr>
        <w:t>：</w:t>
      </w:r>
      <w:r>
        <w:rPr>
          <w:rFonts w:hint="eastAsia" w:ascii="宋体" w:hAnsi="宋体" w:cs="Times New Roman"/>
          <w:bCs/>
          <w:color w:val="auto"/>
          <w:sz w:val="24"/>
          <w:lang w:val="en-US" w:eastAsia="zh-CN"/>
        </w:rPr>
        <w:t>00</w:t>
      </w:r>
      <w:r>
        <w:rPr>
          <w:rFonts w:hint="eastAsia" w:ascii="宋体" w:hAnsi="宋体" w:cs="Times New Roman"/>
          <w:bCs/>
          <w:color w:val="auto"/>
          <w:sz w:val="24"/>
        </w:rPr>
        <w:t>至2020年</w:t>
      </w:r>
      <w:r>
        <w:rPr>
          <w:rFonts w:hint="eastAsia" w:ascii="宋体" w:hAnsi="宋体" w:cs="Times New Roman"/>
          <w:bCs/>
          <w:color w:val="auto"/>
          <w:sz w:val="24"/>
          <w:lang w:val="en-US" w:eastAsia="zh-CN"/>
        </w:rPr>
        <w:t>11</w:t>
      </w:r>
      <w:r>
        <w:rPr>
          <w:rFonts w:hint="eastAsia" w:ascii="宋体" w:hAnsi="宋体" w:cs="Times New Roman"/>
          <w:bCs/>
          <w:color w:val="auto"/>
          <w:sz w:val="24"/>
        </w:rPr>
        <w:t>月</w:t>
      </w:r>
      <w:r>
        <w:rPr>
          <w:rFonts w:hint="eastAsia" w:ascii="宋体" w:hAnsi="宋体" w:cs="Times New Roman"/>
          <w:bCs/>
          <w:color w:val="auto"/>
          <w:sz w:val="24"/>
          <w:lang w:val="en-US" w:eastAsia="zh-CN"/>
        </w:rPr>
        <w:t>20</w:t>
      </w:r>
      <w:r>
        <w:rPr>
          <w:rFonts w:hint="eastAsia" w:ascii="宋体" w:hAnsi="宋体" w:cs="Times New Roman"/>
          <w:bCs/>
          <w:color w:val="auto"/>
          <w:sz w:val="24"/>
        </w:rPr>
        <w:t>日</w:t>
      </w:r>
      <w:r>
        <w:rPr>
          <w:rFonts w:hint="eastAsia" w:ascii="宋体" w:hAnsi="宋体" w:cs="Times New Roman"/>
          <w:bCs/>
          <w:color w:val="auto"/>
          <w:sz w:val="24"/>
          <w:lang w:val="en-US" w:eastAsia="zh-CN"/>
        </w:rPr>
        <w:t>10</w:t>
      </w:r>
      <w:r>
        <w:rPr>
          <w:rFonts w:hint="eastAsia" w:ascii="宋体" w:hAnsi="宋体" w:cs="Times New Roman"/>
          <w:bCs/>
          <w:color w:val="auto"/>
          <w:sz w:val="24"/>
        </w:rPr>
        <w:t>：</w:t>
      </w:r>
      <w:r>
        <w:rPr>
          <w:rFonts w:hint="eastAsia" w:ascii="宋体" w:hAnsi="宋体" w:cs="Times New Roman"/>
          <w:bCs/>
          <w:color w:val="auto"/>
          <w:sz w:val="24"/>
          <w:lang w:val="en-US" w:eastAsia="zh-CN"/>
        </w:rPr>
        <w:t>30</w:t>
      </w:r>
      <w:r>
        <w:rPr>
          <w:rFonts w:hint="eastAsia" w:ascii="宋体" w:hAnsi="宋体" w:cs="Times New Roman"/>
          <w:bCs/>
          <w:color w:val="auto"/>
          <w:sz w:val="24"/>
        </w:rPr>
        <w:t>（北京时间）</w:t>
      </w:r>
    </w:p>
    <w:p>
      <w:pPr>
        <w:adjustRightInd w:val="0"/>
        <w:snapToGrid w:val="0"/>
        <w:spacing w:line="360" w:lineRule="auto"/>
        <w:jc w:val="left"/>
        <w:rPr>
          <w:rFonts w:ascii="宋体" w:hAnsi="宋体"/>
          <w:bCs/>
          <w:color w:val="auto"/>
          <w:sz w:val="24"/>
        </w:rPr>
      </w:pP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十、投标文件提交地点及开标地点：</w:t>
      </w:r>
      <w:r>
        <w:rPr>
          <w:rFonts w:hint="eastAsia" w:ascii="宋体" w:hAnsi="宋体"/>
          <w:color w:val="auto"/>
          <w:sz w:val="24"/>
        </w:rPr>
        <w:t>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w:t>
      </w:r>
      <w:r>
        <w:rPr>
          <w:rFonts w:ascii="宋体" w:hAnsi="宋体"/>
          <w:color w:val="auto"/>
          <w:sz w:val="24"/>
        </w:rPr>
        <w:t xml:space="preserve"> </w:t>
      </w:r>
      <w:r>
        <w:rPr>
          <w:rFonts w:hint="eastAsia" w:ascii="宋体" w:hAnsi="宋体"/>
          <w:color w:val="auto"/>
          <w:sz w:val="24"/>
        </w:rPr>
        <w:t>广东华鑫招标采购有限公司二号会议室。</w:t>
      </w:r>
    </w:p>
    <w:p>
      <w:pPr>
        <w:adjustRightInd w:val="0"/>
        <w:snapToGrid w:val="0"/>
        <w:spacing w:line="360" w:lineRule="auto"/>
        <w:jc w:val="left"/>
        <w:rPr>
          <w:rFonts w:ascii="宋体" w:hAnsi="宋体"/>
          <w:color w:val="auto"/>
          <w:sz w:val="24"/>
        </w:rPr>
      </w:pPr>
    </w:p>
    <w:p>
      <w:pPr>
        <w:adjustRightInd w:val="0"/>
        <w:snapToGrid w:val="0"/>
        <w:spacing w:line="360" w:lineRule="auto"/>
        <w:jc w:val="left"/>
        <w:rPr>
          <w:rFonts w:hint="eastAsia" w:ascii="宋体" w:hAnsi="宋体" w:cs="Times New Roman"/>
          <w:bCs/>
          <w:color w:val="auto"/>
          <w:sz w:val="24"/>
        </w:rPr>
      </w:pPr>
      <w:r>
        <w:rPr>
          <w:rFonts w:hint="eastAsia" w:ascii="黑体" w:hAnsi="黑体" w:eastAsia="黑体"/>
          <w:b/>
          <w:color w:val="auto"/>
          <w:sz w:val="28"/>
          <w:szCs w:val="28"/>
        </w:rPr>
        <w:t>十一、</w:t>
      </w:r>
      <w:r>
        <w:rPr>
          <w:rFonts w:hint="eastAsia" w:ascii="黑体" w:hAnsi="黑体" w:eastAsia="黑体"/>
          <w:b/>
          <w:bCs/>
          <w:color w:val="auto"/>
          <w:sz w:val="28"/>
          <w:szCs w:val="28"/>
        </w:rPr>
        <w:t>提交投标文件截止时间及</w:t>
      </w:r>
      <w:r>
        <w:rPr>
          <w:rFonts w:hint="eastAsia" w:ascii="黑体" w:hAnsi="黑体" w:eastAsia="黑体"/>
          <w:b/>
          <w:color w:val="auto"/>
          <w:sz w:val="28"/>
          <w:szCs w:val="28"/>
        </w:rPr>
        <w:t>开标时间</w:t>
      </w:r>
      <w:r>
        <w:rPr>
          <w:rFonts w:hint="eastAsia" w:ascii="黑体" w:hAnsi="黑体" w:eastAsia="黑体"/>
          <w:color w:val="auto"/>
          <w:sz w:val="28"/>
          <w:szCs w:val="28"/>
        </w:rPr>
        <w:t>：</w:t>
      </w:r>
      <w:r>
        <w:rPr>
          <w:rFonts w:hint="eastAsia" w:ascii="宋体" w:hAnsi="宋体" w:cs="Times New Roman"/>
          <w:bCs/>
          <w:color w:val="auto"/>
          <w:sz w:val="24"/>
        </w:rPr>
        <w:t>2020年</w:t>
      </w:r>
      <w:r>
        <w:rPr>
          <w:rFonts w:hint="eastAsia" w:ascii="宋体" w:hAnsi="宋体" w:cs="Times New Roman"/>
          <w:bCs/>
          <w:color w:val="auto"/>
          <w:sz w:val="24"/>
          <w:lang w:val="en-US" w:eastAsia="zh-CN"/>
        </w:rPr>
        <w:t>11</w:t>
      </w:r>
      <w:r>
        <w:rPr>
          <w:rFonts w:hint="eastAsia" w:ascii="宋体" w:hAnsi="宋体" w:cs="Times New Roman"/>
          <w:bCs/>
          <w:color w:val="auto"/>
          <w:sz w:val="24"/>
        </w:rPr>
        <w:t>月</w:t>
      </w:r>
      <w:r>
        <w:rPr>
          <w:rFonts w:hint="eastAsia" w:ascii="宋体" w:hAnsi="宋体" w:cs="Times New Roman"/>
          <w:bCs/>
          <w:color w:val="auto"/>
          <w:sz w:val="24"/>
          <w:lang w:val="en-US" w:eastAsia="zh-CN"/>
        </w:rPr>
        <w:t>20</w:t>
      </w:r>
      <w:r>
        <w:rPr>
          <w:rFonts w:hint="eastAsia" w:ascii="宋体" w:hAnsi="宋体" w:cs="Times New Roman"/>
          <w:bCs/>
          <w:color w:val="auto"/>
          <w:sz w:val="24"/>
        </w:rPr>
        <w:t>日</w:t>
      </w:r>
      <w:r>
        <w:rPr>
          <w:rFonts w:hint="eastAsia" w:ascii="宋体" w:hAnsi="宋体" w:cs="Times New Roman"/>
          <w:bCs/>
          <w:color w:val="auto"/>
          <w:sz w:val="24"/>
          <w:lang w:val="en-US" w:eastAsia="zh-CN"/>
        </w:rPr>
        <w:t>10</w:t>
      </w:r>
      <w:r>
        <w:rPr>
          <w:rFonts w:hint="eastAsia" w:ascii="宋体" w:hAnsi="宋体" w:cs="Times New Roman"/>
          <w:bCs/>
          <w:color w:val="auto"/>
          <w:sz w:val="24"/>
        </w:rPr>
        <w:t>：</w:t>
      </w:r>
      <w:r>
        <w:rPr>
          <w:rFonts w:hint="eastAsia" w:ascii="宋体" w:hAnsi="宋体" w:cs="Times New Roman"/>
          <w:bCs/>
          <w:color w:val="auto"/>
          <w:sz w:val="24"/>
          <w:lang w:val="en-US" w:eastAsia="zh-CN"/>
        </w:rPr>
        <w:t>30</w:t>
      </w:r>
      <w:r>
        <w:rPr>
          <w:rFonts w:hint="eastAsia" w:ascii="宋体" w:hAnsi="宋体" w:cs="Times New Roman"/>
          <w:bCs/>
          <w:color w:val="auto"/>
          <w:sz w:val="24"/>
        </w:rPr>
        <w:t>（北京时间），逾期不予接收。</w:t>
      </w:r>
    </w:p>
    <w:p>
      <w:pPr>
        <w:adjustRightInd w:val="0"/>
        <w:snapToGrid w:val="0"/>
        <w:spacing w:line="360" w:lineRule="auto"/>
        <w:jc w:val="left"/>
        <w:rPr>
          <w:rFonts w:ascii="宋体"/>
          <w:color w:val="auto"/>
          <w:spacing w:val="-6"/>
          <w:sz w:val="24"/>
        </w:rPr>
      </w:pPr>
    </w:p>
    <w:p>
      <w:pPr>
        <w:adjustRightInd w:val="0"/>
        <w:snapToGrid w:val="0"/>
        <w:spacing w:line="360" w:lineRule="auto"/>
        <w:jc w:val="left"/>
        <w:rPr>
          <w:rFonts w:ascii="宋体" w:hAnsi="宋体"/>
          <w:color w:val="auto"/>
          <w:sz w:val="24"/>
        </w:rPr>
      </w:pPr>
      <w:r>
        <w:rPr>
          <w:rFonts w:hint="eastAsia" w:ascii="黑体" w:hAnsi="黑体" w:eastAsia="黑体"/>
          <w:b/>
          <w:color w:val="auto"/>
          <w:sz w:val="28"/>
          <w:szCs w:val="28"/>
        </w:rPr>
        <w:t>十二、本公告期限</w:t>
      </w:r>
      <w:r>
        <w:rPr>
          <w:rFonts w:hint="eastAsia" w:ascii="黑体" w:hAnsi="黑体" w:eastAsia="黑体"/>
          <w:color w:val="auto"/>
          <w:sz w:val="28"/>
          <w:szCs w:val="28"/>
        </w:rPr>
        <w:t>（</w:t>
      </w:r>
      <w:r>
        <w:rPr>
          <w:rFonts w:ascii="黑体" w:hAnsi="黑体" w:eastAsia="黑体"/>
          <w:color w:val="auto"/>
          <w:sz w:val="28"/>
          <w:szCs w:val="28"/>
        </w:rPr>
        <w:t>5</w:t>
      </w:r>
      <w:r>
        <w:rPr>
          <w:rFonts w:hint="eastAsia" w:ascii="黑体" w:hAnsi="黑体" w:eastAsia="黑体"/>
          <w:color w:val="auto"/>
          <w:sz w:val="28"/>
          <w:szCs w:val="28"/>
        </w:rPr>
        <w:t>个日历日）</w:t>
      </w:r>
      <w:r>
        <w:rPr>
          <w:rFonts w:hint="eastAsia" w:ascii="宋体" w:hAnsi="宋体"/>
          <w:b/>
          <w:color w:val="auto"/>
          <w:sz w:val="24"/>
        </w:rPr>
        <w:t>：</w:t>
      </w:r>
      <w:r>
        <w:rPr>
          <w:rFonts w:hint="eastAsia" w:ascii="宋体" w:hAnsi="宋体" w:cs="Times New Roman"/>
          <w:bCs/>
          <w:color w:val="auto"/>
          <w:sz w:val="24"/>
        </w:rPr>
        <w:t>自2020年</w:t>
      </w:r>
      <w:r>
        <w:rPr>
          <w:rFonts w:hint="eastAsia" w:ascii="宋体" w:hAnsi="宋体" w:cs="Times New Roman"/>
          <w:bCs/>
          <w:color w:val="auto"/>
          <w:sz w:val="24"/>
          <w:lang w:val="en-US" w:eastAsia="zh-CN"/>
        </w:rPr>
        <w:t>10</w:t>
      </w:r>
      <w:r>
        <w:rPr>
          <w:rFonts w:hint="eastAsia" w:ascii="宋体" w:hAnsi="宋体" w:cs="Times New Roman"/>
          <w:bCs/>
          <w:color w:val="auto"/>
          <w:sz w:val="24"/>
        </w:rPr>
        <w:t>月</w:t>
      </w:r>
      <w:r>
        <w:rPr>
          <w:rFonts w:hint="eastAsia" w:ascii="宋体" w:hAnsi="宋体" w:cs="Times New Roman"/>
          <w:bCs/>
          <w:color w:val="auto"/>
          <w:sz w:val="24"/>
          <w:lang w:val="en-US" w:eastAsia="zh-CN"/>
        </w:rPr>
        <w:t>31</w:t>
      </w:r>
      <w:r>
        <w:rPr>
          <w:rFonts w:hint="eastAsia" w:ascii="宋体" w:hAnsi="宋体" w:cs="Times New Roman"/>
          <w:bCs/>
          <w:color w:val="auto"/>
          <w:sz w:val="24"/>
        </w:rPr>
        <w:t>日至2020年</w:t>
      </w:r>
      <w:r>
        <w:rPr>
          <w:rFonts w:hint="eastAsia" w:ascii="宋体" w:hAnsi="宋体" w:cs="Times New Roman"/>
          <w:bCs/>
          <w:color w:val="auto"/>
          <w:sz w:val="24"/>
          <w:lang w:val="en-US" w:eastAsia="zh-CN"/>
        </w:rPr>
        <w:t>11</w:t>
      </w:r>
      <w:r>
        <w:rPr>
          <w:rFonts w:hint="eastAsia" w:ascii="宋体" w:hAnsi="宋体" w:cs="Times New Roman"/>
          <w:bCs/>
          <w:color w:val="auto"/>
          <w:sz w:val="24"/>
        </w:rPr>
        <w:t>月</w:t>
      </w:r>
      <w:r>
        <w:rPr>
          <w:rFonts w:hint="eastAsia" w:ascii="宋体" w:hAnsi="宋体" w:cs="Times New Roman"/>
          <w:bCs/>
          <w:color w:val="auto"/>
          <w:sz w:val="24"/>
          <w:lang w:val="en-US" w:eastAsia="zh-CN"/>
        </w:rPr>
        <w:t>6</w:t>
      </w:r>
      <w:r>
        <w:rPr>
          <w:rFonts w:hint="eastAsia" w:ascii="宋体" w:hAnsi="宋体" w:cs="Times New Roman"/>
          <w:bCs/>
          <w:color w:val="auto"/>
          <w:sz w:val="24"/>
        </w:rPr>
        <w:t>日止</w:t>
      </w:r>
    </w:p>
    <w:p>
      <w:pPr>
        <w:adjustRightInd w:val="0"/>
        <w:snapToGrid w:val="0"/>
        <w:spacing w:line="360" w:lineRule="auto"/>
        <w:jc w:val="left"/>
        <w:rPr>
          <w:rFonts w:ascii="宋体" w:hAnsi="宋体"/>
          <w:color w:val="auto"/>
          <w:sz w:val="24"/>
        </w:rPr>
      </w:pPr>
    </w:p>
    <w:p>
      <w:pPr>
        <w:widowControl/>
        <w:tabs>
          <w:tab w:val="left" w:pos="5400"/>
        </w:tabs>
        <w:snapToGrid w:val="0"/>
        <w:spacing w:line="360" w:lineRule="auto"/>
        <w:jc w:val="left"/>
        <w:rPr>
          <w:rFonts w:ascii="黑体" w:hAnsi="黑体" w:eastAsia="黑体" w:cs="宋体"/>
          <w:b/>
          <w:color w:val="auto"/>
          <w:kern w:val="0"/>
          <w:sz w:val="28"/>
          <w:szCs w:val="28"/>
        </w:rPr>
      </w:pPr>
      <w:r>
        <w:rPr>
          <w:rFonts w:hint="eastAsia" w:ascii="黑体" w:hAnsi="黑体" w:eastAsia="黑体"/>
          <w:b/>
          <w:color w:val="auto"/>
          <w:sz w:val="28"/>
          <w:szCs w:val="28"/>
        </w:rPr>
        <w:t>十三、</w:t>
      </w:r>
      <w:r>
        <w:rPr>
          <w:rFonts w:hint="eastAsia" w:ascii="黑体" w:hAnsi="黑体" w:eastAsia="黑体" w:cs="宋体"/>
          <w:b/>
          <w:color w:val="auto"/>
          <w:kern w:val="0"/>
          <w:sz w:val="28"/>
          <w:szCs w:val="28"/>
        </w:rPr>
        <w:t>发布公告</w:t>
      </w:r>
    </w:p>
    <w:p>
      <w:pPr>
        <w:widowControl/>
        <w:tabs>
          <w:tab w:val="left" w:pos="5400"/>
        </w:tabs>
        <w:snapToGrid w:val="0"/>
        <w:spacing w:line="360" w:lineRule="auto"/>
        <w:ind w:left="-199" w:leftChars="-95" w:firstLine="679" w:firstLineChars="283"/>
        <w:jc w:val="left"/>
        <w:rPr>
          <w:rFonts w:ascii="宋体" w:hAnsi="宋体"/>
          <w:color w:val="auto"/>
          <w:sz w:val="24"/>
        </w:rPr>
      </w:pPr>
      <w:r>
        <w:rPr>
          <w:rFonts w:hint="eastAsia" w:ascii="宋体" w:hAnsi="宋体"/>
          <w:color w:val="auto"/>
          <w:sz w:val="24"/>
        </w:rPr>
        <w:t>本项目招标公告等相关信息在</w:t>
      </w:r>
      <w:r>
        <w:rPr>
          <w:rFonts w:hint="eastAsia" w:ascii="宋体" w:hAnsi="宋体" w:cs="宋体"/>
          <w:color w:val="auto"/>
          <w:kern w:val="1"/>
          <w:sz w:val="24"/>
        </w:rPr>
        <w:t>【中国政府采购网（www.ccgp.gov.cn）</w:t>
      </w:r>
      <w:r>
        <w:rPr>
          <w:rFonts w:hint="eastAsia" w:ascii="宋体" w:hAnsi="宋体"/>
          <w:color w:val="auto"/>
          <w:sz w:val="24"/>
        </w:rPr>
        <w:t>、广东华鑫招标采购有限公司（</w:t>
      </w:r>
      <w:r>
        <w:rPr>
          <w:rFonts w:ascii="宋体" w:hAnsi="宋体"/>
          <w:color w:val="auto"/>
          <w:sz w:val="24"/>
        </w:rPr>
        <w:t>www.huaxinbidding.cn</w:t>
      </w:r>
      <w:r>
        <w:rPr>
          <w:rFonts w:hint="eastAsia" w:ascii="宋体" w:hAnsi="宋体"/>
          <w:color w:val="auto"/>
          <w:sz w:val="24"/>
        </w:rPr>
        <w:t>）</w:t>
      </w:r>
      <w:r>
        <w:rPr>
          <w:rFonts w:hint="eastAsia" w:ascii="宋体" w:hAnsi="宋体" w:cs="宋体"/>
          <w:color w:val="auto"/>
          <w:kern w:val="1"/>
          <w:sz w:val="24"/>
        </w:rPr>
        <w:t>、</w:t>
      </w:r>
      <w:r>
        <w:rPr>
          <w:rFonts w:hint="eastAsia" w:ascii="黑体" w:hAnsi="黑体" w:eastAsia="黑体"/>
          <w:bCs/>
          <w:color w:val="auto"/>
          <w:sz w:val="24"/>
        </w:rPr>
        <w:t>中招联合招标采购网</w:t>
      </w:r>
      <w:r>
        <w:rPr>
          <w:rFonts w:hint="eastAsia" w:ascii="黑体" w:hAnsi="黑体" w:eastAsia="黑体"/>
          <w:bCs/>
          <w:color w:val="auto"/>
          <w:sz w:val="28"/>
          <w:szCs w:val="28"/>
        </w:rPr>
        <w:t>“</w:t>
      </w:r>
      <w:r>
        <w:rPr>
          <w:rFonts w:hint="eastAsia" w:ascii="宋体" w:hAnsi="宋体"/>
          <w:color w:val="auto"/>
          <w:sz w:val="24"/>
        </w:rPr>
        <w:t>http://www.365trade.com.cn/</w:t>
      </w:r>
      <w:r>
        <w:rPr>
          <w:rFonts w:hint="eastAsia" w:ascii="宋体" w:hAnsi="宋体"/>
          <w:b/>
          <w:bCs/>
          <w:color w:val="auto"/>
          <w:sz w:val="24"/>
        </w:rPr>
        <w:t>”</w:t>
      </w:r>
      <w:r>
        <w:rPr>
          <w:rFonts w:hint="eastAsia" w:ascii="宋体" w:hAnsi="宋体" w:cs="宋体"/>
          <w:color w:val="auto"/>
          <w:kern w:val="1"/>
          <w:sz w:val="24"/>
        </w:rPr>
        <w:t>】</w:t>
      </w:r>
      <w:r>
        <w:rPr>
          <w:rFonts w:hint="eastAsia" w:ascii="宋体" w:hAnsi="宋体"/>
          <w:color w:val="auto"/>
          <w:sz w:val="24"/>
        </w:rPr>
        <w:t>上公布</w:t>
      </w:r>
      <w:r>
        <w:rPr>
          <w:rFonts w:ascii="宋体"/>
          <w:color w:val="auto"/>
          <w:sz w:val="24"/>
        </w:rPr>
        <w:t>,</w:t>
      </w:r>
      <w:r>
        <w:rPr>
          <w:rFonts w:hint="eastAsia" w:ascii="宋体" w:hAnsi="宋体"/>
          <w:color w:val="auto"/>
          <w:sz w:val="24"/>
        </w:rPr>
        <w:t>并视为有效送达，不再另行通知。</w:t>
      </w:r>
    </w:p>
    <w:p>
      <w:pPr>
        <w:widowControl/>
        <w:tabs>
          <w:tab w:val="left" w:pos="5400"/>
        </w:tabs>
        <w:snapToGrid w:val="0"/>
        <w:spacing w:line="360" w:lineRule="auto"/>
        <w:ind w:firstLine="480" w:firstLineChars="200"/>
        <w:jc w:val="left"/>
        <w:rPr>
          <w:rFonts w:ascii="宋体" w:hAnsi="宋体"/>
          <w:color w:val="auto"/>
          <w:sz w:val="24"/>
        </w:rPr>
      </w:pPr>
    </w:p>
    <w:p>
      <w:pPr>
        <w:widowControl/>
        <w:numPr>
          <w:ilvl w:val="0"/>
          <w:numId w:val="2"/>
        </w:numPr>
        <w:tabs>
          <w:tab w:val="left" w:pos="5400"/>
        </w:tabs>
        <w:snapToGrid w:val="0"/>
        <w:spacing w:before="156" w:beforeLines="50" w:after="156" w:afterLines="50" w:line="360" w:lineRule="auto"/>
        <w:jc w:val="left"/>
        <w:rPr>
          <w:rFonts w:hint="eastAsia" w:ascii="黑体" w:hAnsi="黑体" w:eastAsia="黑体"/>
          <w:b/>
          <w:color w:val="auto"/>
          <w:sz w:val="28"/>
          <w:szCs w:val="28"/>
        </w:rPr>
      </w:pPr>
      <w:r>
        <w:rPr>
          <w:rFonts w:hint="eastAsia" w:ascii="黑体" w:hAnsi="黑体" w:eastAsia="黑体"/>
          <w:b/>
          <w:color w:val="auto"/>
          <w:sz w:val="28"/>
          <w:szCs w:val="28"/>
        </w:rPr>
        <w:t>已购买招标文件，而不参加投标的投标人，请于投标截止前</w:t>
      </w:r>
      <w:r>
        <w:rPr>
          <w:rFonts w:ascii="黑体" w:hAnsi="黑体" w:eastAsia="黑体"/>
          <w:b/>
          <w:color w:val="auto"/>
          <w:sz w:val="28"/>
          <w:szCs w:val="28"/>
        </w:rPr>
        <w:t>3</w:t>
      </w:r>
      <w:r>
        <w:rPr>
          <w:rFonts w:hint="eastAsia" w:ascii="黑体" w:hAnsi="黑体" w:eastAsia="黑体"/>
          <w:b/>
          <w:color w:val="auto"/>
          <w:sz w:val="28"/>
          <w:szCs w:val="28"/>
        </w:rPr>
        <w:t>日以书面形式告知招标代理机构。</w:t>
      </w:r>
    </w:p>
    <w:p>
      <w:pPr>
        <w:pStyle w:val="17"/>
        <w:rPr>
          <w:color w:val="auto"/>
        </w:rPr>
      </w:pPr>
    </w:p>
    <w:p>
      <w:pPr>
        <w:rPr>
          <w:rFonts w:ascii="黑体" w:hAnsi="黑体" w:eastAsia="黑体"/>
          <w:b/>
          <w:color w:val="auto"/>
          <w:sz w:val="28"/>
          <w:szCs w:val="28"/>
        </w:rPr>
      </w:pPr>
      <w:r>
        <w:rPr>
          <w:rFonts w:hint="eastAsia" w:ascii="黑体" w:hAnsi="黑体" w:eastAsia="黑体"/>
          <w:b/>
          <w:color w:val="auto"/>
          <w:sz w:val="28"/>
          <w:szCs w:val="28"/>
        </w:rPr>
        <w:t>十五、联系事项</w:t>
      </w:r>
    </w:p>
    <w:p>
      <w:pPr>
        <w:adjustRightInd w:val="0"/>
        <w:snapToGrid w:val="0"/>
        <w:spacing w:line="360" w:lineRule="auto"/>
        <w:jc w:val="left"/>
        <w:rPr>
          <w:rFonts w:ascii="宋体"/>
          <w:color w:val="auto"/>
          <w:sz w:val="24"/>
        </w:rPr>
      </w:pPr>
      <w:r>
        <w:rPr>
          <w:rFonts w:hint="eastAsia" w:ascii="宋体" w:hAnsi="宋体"/>
          <w:color w:val="auto"/>
          <w:sz w:val="24"/>
        </w:rPr>
        <w:t>（一）</w:t>
      </w:r>
      <w:r>
        <w:rPr>
          <w:rFonts w:hint="eastAsia" w:ascii="宋体" w:hAnsi="宋体"/>
          <w:color w:val="auto"/>
          <w:sz w:val="24"/>
          <w:lang w:eastAsia="zh-CN"/>
        </w:rPr>
        <w:t>采购人</w:t>
      </w:r>
      <w:r>
        <w:rPr>
          <w:rFonts w:hint="eastAsia" w:ascii="宋体" w:hAnsi="宋体"/>
          <w:color w:val="auto"/>
          <w:sz w:val="24"/>
        </w:rPr>
        <w:t>：</w:t>
      </w:r>
      <w:r>
        <w:rPr>
          <w:rFonts w:hint="eastAsia" w:ascii="宋体" w:hAnsi="宋体"/>
          <w:color w:val="auto"/>
          <w:sz w:val="24"/>
          <w:lang w:val="en-US" w:eastAsia="zh-CN"/>
        </w:rPr>
        <w:t>南方医科大学口腔医院（广东省口腔医院）</w:t>
      </w:r>
    </w:p>
    <w:p>
      <w:pPr>
        <w:adjustRightInd w:val="0"/>
        <w:snapToGrid w:val="0"/>
        <w:spacing w:line="360" w:lineRule="auto"/>
        <w:ind w:firstLine="480" w:firstLineChars="200"/>
        <w:jc w:val="left"/>
        <w:rPr>
          <w:rFonts w:hint="default" w:ascii="宋体" w:eastAsia="宋体"/>
          <w:color w:val="auto"/>
          <w:sz w:val="24"/>
          <w:lang w:val="en-US" w:eastAsia="zh-CN"/>
        </w:rPr>
      </w:pPr>
      <w:r>
        <w:rPr>
          <w:rFonts w:hint="eastAsia" w:ascii="宋体" w:hAnsi="宋体"/>
          <w:color w:val="auto"/>
          <w:sz w:val="24"/>
        </w:rPr>
        <w:t>地址：</w:t>
      </w:r>
      <w:r>
        <w:rPr>
          <w:rFonts w:hint="eastAsia" w:ascii="宋体" w:hAnsi="宋体"/>
          <w:color w:val="auto"/>
          <w:sz w:val="24"/>
          <w:lang w:val="en-US" w:eastAsia="zh-CN"/>
        </w:rPr>
        <w:t xml:space="preserve">广州市海珠区江南大道南366号  </w:t>
      </w:r>
    </w:p>
    <w:p>
      <w:pPr>
        <w:adjustRightInd w:val="0"/>
        <w:snapToGrid w:val="0"/>
        <w:spacing w:line="360" w:lineRule="auto"/>
        <w:jc w:val="left"/>
        <w:rPr>
          <w:rFonts w:ascii="宋体"/>
          <w:color w:val="auto"/>
          <w:sz w:val="24"/>
        </w:rPr>
      </w:pPr>
      <w:r>
        <w:rPr>
          <w:rFonts w:hint="eastAsia" w:ascii="宋体" w:hAnsi="宋体"/>
          <w:color w:val="auto"/>
          <w:sz w:val="24"/>
        </w:rPr>
        <w:t>（二）招标代理机构：广东华鑫招标采购有限公司</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地址：广州市越秀区广州大道中</w:t>
      </w:r>
      <w:r>
        <w:rPr>
          <w:rFonts w:ascii="宋体" w:hAnsi="宋体"/>
          <w:color w:val="auto"/>
          <w:sz w:val="24"/>
        </w:rPr>
        <w:t>307</w:t>
      </w:r>
      <w:r>
        <w:rPr>
          <w:rFonts w:hint="eastAsia" w:ascii="宋体" w:hAnsi="宋体"/>
          <w:color w:val="auto"/>
          <w:sz w:val="24"/>
        </w:rPr>
        <w:t>号富力东山新天地</w:t>
      </w:r>
      <w:r>
        <w:rPr>
          <w:rFonts w:ascii="宋体" w:hAnsi="宋体"/>
          <w:color w:val="auto"/>
          <w:sz w:val="24"/>
        </w:rPr>
        <w:t>36</w:t>
      </w:r>
      <w:r>
        <w:rPr>
          <w:rFonts w:hint="eastAsia" w:ascii="宋体" w:hAnsi="宋体"/>
          <w:color w:val="auto"/>
          <w:sz w:val="24"/>
        </w:rPr>
        <w:t>楼</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联系人：刘家栋</w:t>
      </w:r>
      <w:r>
        <w:rPr>
          <w:rFonts w:ascii="宋体"/>
          <w:color w:val="auto"/>
          <w:sz w:val="24"/>
        </w:rPr>
        <w:tab/>
      </w:r>
      <w:r>
        <w:rPr>
          <w:rFonts w:hint="eastAsia" w:ascii="宋体" w:hAnsi="宋体"/>
          <w:color w:val="auto"/>
          <w:sz w:val="24"/>
        </w:rPr>
        <w:t>联系电话：</w:t>
      </w:r>
      <w:r>
        <w:rPr>
          <w:rFonts w:ascii="宋体" w:hAnsi="宋体"/>
          <w:color w:val="auto"/>
          <w:sz w:val="24"/>
        </w:rPr>
        <w:t>020-87300828</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工作时间：工作日上午8:30--12:00，下午2:00--6:00</w:t>
      </w:r>
    </w:p>
    <w:p>
      <w:pPr>
        <w:adjustRightInd w:val="0"/>
        <w:snapToGrid w:val="0"/>
        <w:spacing w:line="360" w:lineRule="auto"/>
        <w:ind w:firstLine="480" w:firstLineChars="200"/>
        <w:jc w:val="left"/>
        <w:rPr>
          <w:rFonts w:ascii="宋体"/>
          <w:color w:val="auto"/>
          <w:sz w:val="24"/>
        </w:rPr>
      </w:pPr>
      <w:r>
        <w:rPr>
          <w:rFonts w:hint="eastAsia" w:ascii="宋体" w:hAnsi="宋体"/>
          <w:color w:val="auto"/>
          <w:sz w:val="24"/>
        </w:rPr>
        <w:t>传真：</w:t>
      </w:r>
      <w:r>
        <w:rPr>
          <w:rFonts w:ascii="宋体" w:hAnsi="宋体"/>
          <w:color w:val="auto"/>
          <w:sz w:val="24"/>
        </w:rPr>
        <w:t xml:space="preserve">020-87302980   </w:t>
      </w:r>
      <w:r>
        <w:rPr>
          <w:rFonts w:ascii="宋体" w:hAnsi="宋体"/>
          <w:color w:val="auto"/>
          <w:sz w:val="24"/>
        </w:rPr>
        <w:tab/>
      </w:r>
      <w:r>
        <w:rPr>
          <w:rFonts w:ascii="宋体" w:hAnsi="宋体"/>
          <w:color w:val="auto"/>
          <w:sz w:val="24"/>
        </w:rPr>
        <w:t xml:space="preserve">                </w:t>
      </w:r>
      <w:r>
        <w:rPr>
          <w:rFonts w:hint="eastAsia" w:ascii="宋体" w:hAnsi="宋体"/>
          <w:color w:val="auto"/>
          <w:sz w:val="24"/>
        </w:rPr>
        <w:t>邮编：</w:t>
      </w:r>
      <w:r>
        <w:rPr>
          <w:rFonts w:ascii="宋体" w:hAnsi="宋体"/>
          <w:color w:val="auto"/>
          <w:sz w:val="24"/>
        </w:rPr>
        <w:t>510000</w:t>
      </w:r>
    </w:p>
    <w:p>
      <w:pPr>
        <w:adjustRightInd w:val="0"/>
        <w:snapToGrid w:val="0"/>
        <w:spacing w:line="360" w:lineRule="auto"/>
        <w:ind w:firstLine="480" w:firstLineChars="200"/>
        <w:jc w:val="left"/>
        <w:rPr>
          <w:rFonts w:ascii="宋体" w:hAnsi="宋体"/>
          <w:color w:val="auto"/>
          <w:sz w:val="24"/>
        </w:rPr>
      </w:pPr>
      <w:r>
        <w:rPr>
          <w:rFonts w:ascii="宋体" w:hAnsi="宋体"/>
          <w:color w:val="auto"/>
          <w:sz w:val="24"/>
        </w:rPr>
        <w:t>E-mail</w:t>
      </w:r>
      <w:r>
        <w:rPr>
          <w:rFonts w:hint="eastAsia" w:ascii="宋体" w:hAnsi="宋体"/>
          <w:color w:val="auto"/>
          <w:sz w:val="24"/>
        </w:rPr>
        <w:t>：</w:t>
      </w:r>
      <w:r>
        <w:rPr>
          <w:rFonts w:ascii="宋体" w:hAnsi="宋体"/>
          <w:color w:val="auto"/>
          <w:sz w:val="24"/>
        </w:rPr>
        <w:t>cs@gdhuaxin.cn</w:t>
      </w:r>
      <w:r>
        <w:rPr>
          <w:rFonts w:ascii="宋体" w:hAnsi="宋体"/>
          <w:color w:val="auto"/>
          <w:sz w:val="24"/>
        </w:rPr>
        <w:tab/>
      </w:r>
    </w:p>
    <w:p>
      <w:pPr>
        <w:pStyle w:val="17"/>
        <w:rPr>
          <w:color w:val="auto"/>
        </w:rPr>
      </w:pPr>
    </w:p>
    <w:p>
      <w:pPr>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十六、招标文件购买款账户</w:t>
      </w:r>
    </w:p>
    <w:p>
      <w:pPr>
        <w:adjustRightInd w:val="0"/>
        <w:snapToGrid w:val="0"/>
        <w:spacing w:line="360" w:lineRule="auto"/>
        <w:ind w:firstLine="480" w:firstLineChars="200"/>
        <w:jc w:val="left"/>
        <w:rPr>
          <w:rFonts w:ascii="宋体" w:hAnsi="宋体"/>
          <w:color w:val="auto"/>
          <w:sz w:val="24"/>
        </w:rPr>
      </w:pP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登陆平台扫码支付，银行转账、微信支付、支付宝支付均可。</w:t>
      </w:r>
    </w:p>
    <w:p>
      <w:pPr>
        <w:pStyle w:val="17"/>
        <w:rPr>
          <w:rFonts w:ascii="宋体" w:hAnsi="宋体"/>
          <w:color w:val="auto"/>
        </w:rPr>
      </w:pPr>
    </w:p>
    <w:p>
      <w:pPr>
        <w:adjustRightInd w:val="0"/>
        <w:snapToGrid w:val="0"/>
        <w:spacing w:line="360" w:lineRule="auto"/>
        <w:jc w:val="center"/>
        <w:rPr>
          <w:rFonts w:ascii="黑体" w:hAnsi="黑体" w:eastAsia="黑体" w:cs="黑体"/>
          <w:b/>
          <w:color w:val="auto"/>
          <w:sz w:val="28"/>
          <w:szCs w:val="28"/>
        </w:rPr>
      </w:pPr>
      <w:r>
        <w:rPr>
          <w:rFonts w:hint="eastAsia" w:ascii="宋体" w:hAnsi="宋体"/>
          <w:b/>
          <w:color w:val="auto"/>
          <w:sz w:val="28"/>
          <w:szCs w:val="28"/>
        </w:rPr>
        <w:t xml:space="preserve">                     </w:t>
      </w:r>
      <w:r>
        <w:rPr>
          <w:rFonts w:hint="eastAsia" w:ascii="黑体" w:hAnsi="黑体" w:eastAsia="黑体" w:cs="黑体"/>
          <w:b/>
          <w:color w:val="auto"/>
          <w:sz w:val="28"/>
          <w:szCs w:val="28"/>
        </w:rPr>
        <w:t xml:space="preserve">   南方医科大学口腔医院（广东省口腔医院）</w:t>
      </w:r>
    </w:p>
    <w:p>
      <w:pPr>
        <w:adjustRightInd w:val="0"/>
        <w:snapToGrid w:val="0"/>
        <w:spacing w:line="360" w:lineRule="auto"/>
        <w:ind w:firstLine="5060" w:firstLineChars="1800"/>
        <w:jc w:val="left"/>
        <w:rPr>
          <w:rFonts w:hint="eastAsia" w:ascii="黑体" w:hAnsi="黑体" w:eastAsia="黑体" w:cs="黑体"/>
          <w:b/>
          <w:color w:val="auto"/>
          <w:sz w:val="28"/>
          <w:szCs w:val="28"/>
        </w:rPr>
      </w:pPr>
      <w:r>
        <w:rPr>
          <w:rFonts w:hint="eastAsia" w:ascii="黑体" w:hAnsi="黑体" w:eastAsia="黑体" w:cs="黑体"/>
          <w:b/>
          <w:color w:val="auto"/>
          <w:sz w:val="28"/>
          <w:szCs w:val="28"/>
        </w:rPr>
        <w:t>2020年</w:t>
      </w:r>
      <w:r>
        <w:rPr>
          <w:rFonts w:hint="eastAsia" w:ascii="黑体" w:hAnsi="黑体" w:eastAsia="黑体" w:cs="黑体"/>
          <w:b/>
          <w:color w:val="auto"/>
          <w:sz w:val="28"/>
          <w:szCs w:val="28"/>
          <w:lang w:val="en-US" w:eastAsia="zh-CN"/>
        </w:rPr>
        <w:t>10</w:t>
      </w:r>
      <w:r>
        <w:rPr>
          <w:rFonts w:hint="eastAsia" w:ascii="黑体" w:hAnsi="黑体" w:eastAsia="黑体" w:cs="黑体"/>
          <w:b/>
          <w:color w:val="auto"/>
          <w:sz w:val="28"/>
          <w:szCs w:val="28"/>
        </w:rPr>
        <w:t>月</w:t>
      </w:r>
      <w:r>
        <w:rPr>
          <w:rFonts w:hint="eastAsia" w:ascii="黑体" w:hAnsi="黑体" w:eastAsia="黑体" w:cs="黑体"/>
          <w:b/>
          <w:color w:val="auto"/>
          <w:sz w:val="28"/>
          <w:szCs w:val="28"/>
          <w:lang w:val="en-US" w:eastAsia="zh-CN"/>
        </w:rPr>
        <w:t>30</w:t>
      </w:r>
      <w:r>
        <w:rPr>
          <w:rFonts w:hint="eastAsia" w:ascii="黑体" w:hAnsi="黑体" w:eastAsia="黑体" w:cs="黑体"/>
          <w:b/>
          <w:color w:val="auto"/>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8CB57"/>
    <w:multiLevelType w:val="singleLevel"/>
    <w:tmpl w:val="B8A8CB57"/>
    <w:lvl w:ilvl="0" w:tentative="0">
      <w:start w:val="14"/>
      <w:numFmt w:val="chineseCounting"/>
      <w:suff w:val="nothing"/>
      <w:lvlText w:val="%1、"/>
      <w:lvlJc w:val="left"/>
      <w:rPr>
        <w:rFonts w:hint="eastAsia"/>
      </w:rPr>
    </w:lvl>
  </w:abstractNum>
  <w:abstractNum w:abstractNumId="1">
    <w:nsid w:val="789663C8"/>
    <w:multiLevelType w:val="multilevel"/>
    <w:tmpl w:val="789663C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D4FC8"/>
    <w:rsid w:val="02985952"/>
    <w:rsid w:val="03B248FC"/>
    <w:rsid w:val="041657CE"/>
    <w:rsid w:val="09A03871"/>
    <w:rsid w:val="0E2F5361"/>
    <w:rsid w:val="1B614FFD"/>
    <w:rsid w:val="28132D99"/>
    <w:rsid w:val="2FF360FD"/>
    <w:rsid w:val="3ED859C9"/>
    <w:rsid w:val="42866638"/>
    <w:rsid w:val="494F78DE"/>
    <w:rsid w:val="4BBF3117"/>
    <w:rsid w:val="51B16EC7"/>
    <w:rsid w:val="56C53786"/>
    <w:rsid w:val="57AD4FC8"/>
    <w:rsid w:val="605111B8"/>
    <w:rsid w:val="63905406"/>
    <w:rsid w:val="6C313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本"/>
    <w:basedOn w:val="1"/>
    <w:qFormat/>
    <w:uiPriority w:val="0"/>
    <w:pPr>
      <w:widowControl w:val="0"/>
      <w:spacing w:before="25" w:beforeLines="25" w:after="25" w:afterLines="25"/>
      <w:ind w:firstLine="420"/>
      <w:jc w:val="both"/>
    </w:pPr>
    <w:rPr>
      <w:kern w:val="2"/>
      <w:szCs w:val="24"/>
    </w:rPr>
  </w:style>
  <w:style w:type="paragraph" w:styleId="3">
    <w:name w:val="Body Text"/>
    <w:basedOn w:val="1"/>
    <w:qFormat/>
    <w:uiPriority w:val="0"/>
    <w:pPr>
      <w:spacing w:after="120" w:afterLines="0" w:afterAutospacing="0"/>
    </w:pPr>
  </w:style>
  <w:style w:type="paragraph" w:styleId="4">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5">
    <w:name w:val="Body Text First Indent"/>
    <w:basedOn w:val="3"/>
    <w:uiPriority w:val="0"/>
    <w:pPr>
      <w:ind w:firstLine="420" w:firstLineChars="100"/>
    </w:pPr>
  </w:style>
  <w:style w:type="paragraph" w:customStyle="1" w:styleId="8">
    <w:name w:val="1.0"/>
    <w:basedOn w:val="1"/>
    <w:link w:val="14"/>
    <w:qFormat/>
    <w:uiPriority w:val="0"/>
    <w:pPr>
      <w:spacing w:before="50" w:beforeLines="50" w:after="50" w:afterLines="50" w:line="360" w:lineRule="auto"/>
      <w:jc w:val="center"/>
      <w:outlineLvl w:val="0"/>
    </w:pPr>
    <w:rPr>
      <w:rFonts w:ascii="Calibri" w:hAnsi="Calibri" w:eastAsia="宋体" w:cs="Times New Roman"/>
      <w:b/>
      <w:sz w:val="36"/>
    </w:rPr>
  </w:style>
  <w:style w:type="paragraph" w:customStyle="1" w:styleId="9">
    <w:name w:val="2.0"/>
    <w:basedOn w:val="5"/>
    <w:link w:val="15"/>
    <w:qFormat/>
    <w:uiPriority w:val="0"/>
    <w:pPr>
      <w:spacing w:before="60" w:after="60" w:line="360" w:lineRule="auto"/>
      <w:ind w:firstLine="0" w:firstLineChars="0"/>
      <w:jc w:val="center"/>
      <w:outlineLvl w:val="1"/>
    </w:pPr>
    <w:rPr>
      <w:rFonts w:ascii="Times New Roman" w:hAnsi="Times New Roman" w:eastAsia="宋体" w:cs="Times New Roman"/>
      <w:b/>
      <w:sz w:val="32"/>
    </w:rPr>
  </w:style>
  <w:style w:type="paragraph" w:customStyle="1" w:styleId="10">
    <w:name w:val="3.0"/>
    <w:basedOn w:val="1"/>
    <w:qFormat/>
    <w:uiPriority w:val="0"/>
    <w:pPr>
      <w:spacing w:line="360" w:lineRule="auto"/>
      <w:jc w:val="center"/>
      <w:outlineLvl w:val="2"/>
    </w:pPr>
    <w:rPr>
      <w:rFonts w:ascii="Times New Roman" w:hAnsi="Times New Roman" w:eastAsia="宋体" w:cs="Times New Roman"/>
      <w:b/>
      <w:sz w:val="30"/>
    </w:rPr>
  </w:style>
  <w:style w:type="paragraph" w:customStyle="1" w:styleId="11">
    <w:name w:val="4.0"/>
    <w:basedOn w:val="5"/>
    <w:link w:val="13"/>
    <w:qFormat/>
    <w:uiPriority w:val="0"/>
    <w:pPr>
      <w:spacing w:line="360" w:lineRule="auto"/>
      <w:ind w:firstLine="0" w:firstLineChars="0"/>
      <w:jc w:val="center"/>
      <w:outlineLvl w:val="3"/>
    </w:pPr>
    <w:rPr>
      <w:rFonts w:ascii="Times New Roman" w:hAnsi="Times New Roman" w:eastAsia="宋体" w:cs="Times New Roman"/>
      <w:b/>
      <w:sz w:val="28"/>
    </w:rPr>
  </w:style>
  <w:style w:type="paragraph" w:customStyle="1" w:styleId="12">
    <w:name w:val="5.0"/>
    <w:basedOn w:val="9"/>
    <w:uiPriority w:val="0"/>
    <w:pPr>
      <w:outlineLvl w:val="4"/>
    </w:pPr>
    <w:rPr>
      <w:rFonts w:ascii="Times New Roman" w:hAnsi="Times New Roman" w:cs="Times New Roman"/>
      <w:sz w:val="24"/>
    </w:rPr>
  </w:style>
  <w:style w:type="character" w:customStyle="1" w:styleId="13">
    <w:name w:val="4.0 Char"/>
    <w:link w:val="11"/>
    <w:uiPriority w:val="0"/>
    <w:rPr>
      <w:rFonts w:ascii="Times New Roman" w:hAnsi="Times New Roman" w:eastAsia="宋体" w:cs="Times New Roman"/>
      <w:b/>
      <w:sz w:val="28"/>
    </w:rPr>
  </w:style>
  <w:style w:type="character" w:customStyle="1" w:styleId="14">
    <w:name w:val="1.0 Char"/>
    <w:link w:val="8"/>
    <w:uiPriority w:val="0"/>
    <w:rPr>
      <w:rFonts w:ascii="Calibri" w:hAnsi="Calibri" w:eastAsia="宋体" w:cs="Times New Roman"/>
      <w:b/>
      <w:sz w:val="36"/>
    </w:rPr>
  </w:style>
  <w:style w:type="character" w:customStyle="1" w:styleId="15">
    <w:name w:val="2.0 Char"/>
    <w:link w:val="9"/>
    <w:uiPriority w:val="0"/>
    <w:rPr>
      <w:rFonts w:ascii="Times New Roman" w:hAnsi="Times New Roman" w:eastAsia="宋体" w:cs="Times New Roman"/>
      <w:b/>
      <w:sz w:val="32"/>
    </w:rPr>
  </w:style>
  <w:style w:type="paragraph" w:styleId="16">
    <w:name w:val="List Paragraph"/>
    <w:basedOn w:val="1"/>
    <w:qFormat/>
    <w:uiPriority w:val="34"/>
    <w:pPr>
      <w:ind w:firstLine="420" w:firstLineChars="200"/>
    </w:pPr>
  </w:style>
  <w:style w:type="paragraph" w:customStyle="1" w:styleId="17">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2020-10-30T10:02:00Z</dcterms:created>
  <dc:creator>邓宝琴2部</dc:creator>
  <cp:lastModifiedBy>邓宝琴3部</cp:lastModifiedBy>
  <dcterms:modified xsi:type="dcterms:W3CDTF">2020-10-30T10:34:08Z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