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eastAsia="宋体"/>
          <w:b/>
          <w:color w:val="auto"/>
          <w:kern w:val="0"/>
          <w:sz w:val="28"/>
          <w:szCs w:val="22"/>
        </w:rPr>
      </w:pPr>
      <w:r>
        <w:rPr>
          <w:rFonts w:hint="eastAsia" w:ascii="宋体" w:hAnsi="宋体" w:eastAsia="宋体"/>
          <w:b/>
          <w:color w:val="auto"/>
          <w:kern w:val="0"/>
          <w:sz w:val="28"/>
          <w:szCs w:val="22"/>
          <w:lang w:eastAsia="zh-CN"/>
        </w:rPr>
        <w:t>南方医科大学口腔医院（广东省口腔医院）采购牙科手机项目(重招)</w:t>
      </w:r>
      <w:r>
        <w:rPr>
          <w:rFonts w:hint="eastAsia" w:ascii="宋体" w:hAnsi="宋体" w:eastAsia="宋体"/>
          <w:b/>
          <w:color w:val="auto"/>
          <w:kern w:val="0"/>
          <w:sz w:val="28"/>
          <w:szCs w:val="22"/>
        </w:rPr>
        <w:t>（项目编号：</w:t>
      </w:r>
      <w:r>
        <w:rPr>
          <w:rFonts w:hint="eastAsia" w:ascii="宋体" w:hAnsi="宋体" w:eastAsia="宋体"/>
          <w:b/>
          <w:color w:val="auto"/>
          <w:kern w:val="0"/>
          <w:sz w:val="28"/>
          <w:szCs w:val="22"/>
          <w:lang w:eastAsia="zh-CN"/>
        </w:rPr>
        <w:t>001051-2020003-1</w:t>
      </w:r>
      <w:r>
        <w:rPr>
          <w:rFonts w:hint="eastAsia" w:ascii="宋体" w:hAnsi="宋体" w:eastAsia="宋体"/>
          <w:b/>
          <w:color w:val="auto"/>
          <w:kern w:val="0"/>
          <w:sz w:val="28"/>
          <w:szCs w:val="22"/>
        </w:rPr>
        <w:t>）</w:t>
      </w:r>
      <w:r>
        <w:rPr>
          <w:rFonts w:hint="eastAsia" w:ascii="宋体" w:hAnsi="宋体" w:eastAsia="宋体"/>
          <w:b/>
          <w:color w:val="auto"/>
          <w:kern w:val="0"/>
          <w:sz w:val="28"/>
          <w:szCs w:val="22"/>
          <w:lang w:eastAsia="zh-CN"/>
        </w:rPr>
        <w:t>中标</w:t>
      </w:r>
      <w:r>
        <w:rPr>
          <w:rFonts w:hint="eastAsia" w:ascii="宋体" w:hAnsi="宋体" w:eastAsia="宋体"/>
          <w:b/>
          <w:color w:val="auto"/>
          <w:kern w:val="0"/>
          <w:sz w:val="28"/>
          <w:szCs w:val="22"/>
        </w:rPr>
        <w:t>结果公告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宋体" w:hAnsi="宋体" w:eastAsia="宋体"/>
          <w:color w:val="auto"/>
          <w:kern w:val="0"/>
          <w:sz w:val="24"/>
          <w:szCs w:val="22"/>
        </w:rPr>
      </w:pPr>
      <w:r>
        <w:rPr>
          <w:rFonts w:hint="eastAsia" w:ascii="宋体" w:hAnsi="宋体" w:eastAsia="宋体"/>
          <w:color w:val="auto"/>
          <w:kern w:val="0"/>
          <w:sz w:val="24"/>
          <w:szCs w:val="22"/>
        </w:rPr>
        <w:t>广东</w:t>
      </w:r>
      <w:r>
        <w:rPr>
          <w:rFonts w:hint="eastAsia" w:ascii="宋体" w:hAnsi="宋体" w:eastAsia="宋体"/>
          <w:color w:val="auto"/>
          <w:kern w:val="0"/>
          <w:sz w:val="24"/>
          <w:szCs w:val="22"/>
          <w:lang w:eastAsia="zh-CN"/>
        </w:rPr>
        <w:t>国利</w:t>
      </w:r>
      <w:r>
        <w:rPr>
          <w:rFonts w:hint="eastAsia" w:ascii="宋体" w:hAnsi="宋体" w:eastAsia="宋体"/>
          <w:color w:val="auto"/>
          <w:kern w:val="0"/>
          <w:sz w:val="24"/>
          <w:szCs w:val="22"/>
        </w:rPr>
        <w:t>招标代理有限公司受</w:t>
      </w:r>
      <w:r>
        <w:rPr>
          <w:rFonts w:hint="eastAsia" w:ascii="宋体" w:hAnsi="宋体" w:eastAsia="宋体"/>
          <w:color w:val="auto"/>
          <w:kern w:val="0"/>
          <w:sz w:val="24"/>
          <w:szCs w:val="22"/>
          <w:lang w:eastAsia="zh-CN"/>
        </w:rPr>
        <w:t>南方医科大学口腔医院（广东省口腔医院）</w:t>
      </w:r>
      <w:r>
        <w:rPr>
          <w:rFonts w:hint="eastAsia" w:ascii="宋体" w:hAnsi="宋体" w:eastAsia="宋体"/>
          <w:color w:val="auto"/>
          <w:kern w:val="0"/>
          <w:sz w:val="24"/>
          <w:szCs w:val="22"/>
        </w:rPr>
        <w:t>的委托，于</w:t>
      </w:r>
      <w:r>
        <w:rPr>
          <w:rFonts w:hint="eastAsia" w:ascii="宋体" w:hAnsi="宋体" w:eastAsia="宋体"/>
          <w:color w:val="auto"/>
          <w:kern w:val="0"/>
          <w:sz w:val="24"/>
          <w:szCs w:val="22"/>
          <w:lang w:eastAsia="zh-CN"/>
        </w:rPr>
        <w:t>2020年</w:t>
      </w:r>
      <w:r>
        <w:rPr>
          <w:rFonts w:hint="eastAsia" w:ascii="宋体" w:hAnsi="宋体" w:eastAsia="宋体"/>
          <w:color w:val="auto"/>
          <w:kern w:val="0"/>
          <w:sz w:val="24"/>
          <w:szCs w:val="22"/>
          <w:lang w:val="en-US" w:eastAsia="zh-CN"/>
        </w:rPr>
        <w:t>6</w:t>
      </w:r>
      <w:r>
        <w:rPr>
          <w:rFonts w:hint="eastAsia" w:ascii="宋体" w:hAnsi="宋体" w:eastAsia="宋体"/>
          <w:color w:val="auto"/>
          <w:kern w:val="0"/>
          <w:sz w:val="24"/>
          <w:szCs w:val="22"/>
          <w:lang w:eastAsia="zh-CN"/>
        </w:rPr>
        <w:t>月</w:t>
      </w:r>
      <w:r>
        <w:rPr>
          <w:rFonts w:hint="eastAsia" w:ascii="宋体" w:hAnsi="宋体" w:eastAsia="宋体"/>
          <w:color w:val="auto"/>
          <w:kern w:val="0"/>
          <w:sz w:val="24"/>
          <w:szCs w:val="22"/>
          <w:lang w:val="en-US" w:eastAsia="zh-CN"/>
        </w:rPr>
        <w:t>19</w:t>
      </w:r>
      <w:r>
        <w:rPr>
          <w:rFonts w:hint="eastAsia" w:ascii="宋体" w:hAnsi="宋体" w:eastAsia="宋体"/>
          <w:color w:val="auto"/>
          <w:kern w:val="0"/>
          <w:sz w:val="24"/>
          <w:szCs w:val="22"/>
          <w:lang w:eastAsia="zh-CN"/>
        </w:rPr>
        <w:t>日</w:t>
      </w:r>
      <w:r>
        <w:rPr>
          <w:rFonts w:hint="eastAsia" w:ascii="宋体" w:hAnsi="宋体" w:eastAsia="宋体"/>
          <w:color w:val="auto"/>
          <w:kern w:val="0"/>
          <w:sz w:val="24"/>
          <w:szCs w:val="22"/>
        </w:rPr>
        <w:t>就</w:t>
      </w:r>
      <w:r>
        <w:rPr>
          <w:rFonts w:hint="eastAsia" w:ascii="宋体" w:hAnsi="宋体" w:eastAsia="宋体"/>
          <w:color w:val="auto"/>
          <w:kern w:val="0"/>
          <w:sz w:val="24"/>
          <w:szCs w:val="22"/>
          <w:lang w:eastAsia="zh-CN"/>
        </w:rPr>
        <w:t>南方医科大学口腔医院（广东省口腔医院）采购牙科手机项目</w:t>
      </w:r>
      <w:r>
        <w:rPr>
          <w:rFonts w:hint="eastAsia" w:ascii="宋体" w:hAnsi="宋体" w:eastAsia="宋体"/>
          <w:color w:val="auto"/>
          <w:kern w:val="0"/>
          <w:sz w:val="24"/>
          <w:szCs w:val="22"/>
        </w:rPr>
        <w:t>（项目编号：</w:t>
      </w:r>
      <w:r>
        <w:rPr>
          <w:rFonts w:hint="eastAsia" w:ascii="宋体" w:hAnsi="宋体" w:eastAsia="宋体"/>
          <w:color w:val="auto"/>
          <w:kern w:val="0"/>
          <w:sz w:val="24"/>
          <w:szCs w:val="22"/>
          <w:lang w:eastAsia="zh-CN"/>
        </w:rPr>
        <w:t>001051-2020003-1</w:t>
      </w:r>
      <w:r>
        <w:rPr>
          <w:rFonts w:hint="eastAsia" w:ascii="宋体" w:hAnsi="宋体" w:eastAsia="宋体"/>
          <w:color w:val="auto"/>
          <w:kern w:val="0"/>
          <w:sz w:val="24"/>
          <w:szCs w:val="22"/>
        </w:rPr>
        <w:t>）采用</w:t>
      </w:r>
      <w:r>
        <w:rPr>
          <w:rFonts w:hint="eastAsia" w:ascii="宋体" w:hAnsi="宋体" w:eastAsia="宋体"/>
          <w:color w:val="auto"/>
          <w:kern w:val="0"/>
          <w:sz w:val="24"/>
          <w:szCs w:val="22"/>
          <w:lang w:eastAsia="zh-CN"/>
        </w:rPr>
        <w:t>公开招标</w:t>
      </w:r>
      <w:r>
        <w:rPr>
          <w:rFonts w:hint="eastAsia" w:ascii="宋体" w:hAnsi="宋体" w:eastAsia="宋体"/>
          <w:color w:val="auto"/>
          <w:kern w:val="0"/>
          <w:sz w:val="24"/>
          <w:szCs w:val="22"/>
        </w:rPr>
        <w:t>的采购方式进行采购。至投标截止时间（2020年0</w:t>
      </w:r>
      <w:r>
        <w:rPr>
          <w:rFonts w:hint="eastAsia" w:ascii="宋体" w:hAnsi="宋体" w:eastAsia="宋体"/>
          <w:color w:val="auto"/>
          <w:kern w:val="0"/>
          <w:sz w:val="24"/>
          <w:szCs w:val="22"/>
          <w:lang w:val="en-US" w:eastAsia="zh-CN"/>
        </w:rPr>
        <w:t>6</w:t>
      </w:r>
      <w:r>
        <w:rPr>
          <w:rFonts w:hint="eastAsia" w:ascii="宋体" w:hAnsi="宋体" w:eastAsia="宋体"/>
          <w:color w:val="auto"/>
          <w:kern w:val="0"/>
          <w:sz w:val="24"/>
          <w:szCs w:val="22"/>
        </w:rPr>
        <w:t>月</w:t>
      </w:r>
      <w:r>
        <w:rPr>
          <w:rFonts w:hint="eastAsia" w:ascii="宋体" w:hAnsi="宋体" w:eastAsia="宋体"/>
          <w:color w:val="auto"/>
          <w:kern w:val="0"/>
          <w:sz w:val="24"/>
          <w:szCs w:val="22"/>
          <w:lang w:val="en-US" w:eastAsia="zh-CN"/>
        </w:rPr>
        <w:t>19</w:t>
      </w:r>
      <w:r>
        <w:rPr>
          <w:rFonts w:hint="eastAsia" w:ascii="宋体" w:hAnsi="宋体" w:eastAsia="宋体"/>
          <w:color w:val="auto"/>
          <w:kern w:val="0"/>
          <w:sz w:val="24"/>
          <w:szCs w:val="22"/>
        </w:rPr>
        <w:t>日09时30分）止，本项目包组2递交投标文件的供应商不足三家。由于投标人不足法定三家，根据《中华人民共和国政府采购法》第三十六条的相关规定，本项目包组2招标失败。现就本次采购的中标（</w:t>
      </w:r>
      <w:r>
        <w:rPr>
          <w:rFonts w:hint="eastAsia" w:ascii="宋体" w:hAnsi="宋体" w:eastAsia="宋体"/>
          <w:color w:val="auto"/>
          <w:kern w:val="0"/>
          <w:sz w:val="24"/>
          <w:szCs w:val="22"/>
          <w:lang w:eastAsia="zh-CN"/>
        </w:rPr>
        <w:t>成交</w:t>
      </w:r>
      <w:r>
        <w:rPr>
          <w:rFonts w:hint="eastAsia" w:ascii="宋体" w:hAnsi="宋体" w:eastAsia="宋体"/>
          <w:color w:val="auto"/>
          <w:kern w:val="0"/>
          <w:sz w:val="24"/>
          <w:szCs w:val="22"/>
        </w:rPr>
        <w:t>）结果公告如下：</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olor w:val="auto"/>
          <w:kern w:val="0"/>
          <w:sz w:val="24"/>
          <w:szCs w:val="22"/>
          <w:lang w:eastAsia="zh-CN"/>
        </w:rPr>
      </w:pPr>
      <w:r>
        <w:rPr>
          <w:rFonts w:hint="eastAsia" w:ascii="宋体" w:hAnsi="宋体" w:eastAsia="宋体"/>
          <w:color w:val="auto"/>
          <w:kern w:val="0"/>
          <w:sz w:val="24"/>
          <w:szCs w:val="22"/>
        </w:rPr>
        <w:t>采购项目编号：</w:t>
      </w:r>
      <w:r>
        <w:rPr>
          <w:rFonts w:hint="eastAsia" w:ascii="宋体" w:hAnsi="宋体" w:eastAsia="宋体"/>
          <w:color w:val="auto"/>
          <w:kern w:val="0"/>
          <w:sz w:val="24"/>
          <w:szCs w:val="22"/>
          <w:lang w:eastAsia="zh-CN"/>
        </w:rPr>
        <w:t>001051-2020003-1</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olor w:val="auto"/>
          <w:kern w:val="0"/>
          <w:sz w:val="24"/>
          <w:szCs w:val="22"/>
          <w:lang w:eastAsia="zh-CN"/>
        </w:rPr>
      </w:pPr>
      <w:r>
        <w:rPr>
          <w:rFonts w:hint="eastAsia" w:ascii="宋体" w:hAnsi="宋体" w:eastAsia="宋体"/>
          <w:color w:val="auto"/>
          <w:kern w:val="0"/>
          <w:sz w:val="24"/>
          <w:szCs w:val="22"/>
        </w:rPr>
        <w:t>采购项目名称：</w:t>
      </w:r>
      <w:r>
        <w:rPr>
          <w:rFonts w:hint="eastAsia" w:ascii="宋体" w:hAnsi="宋体" w:eastAsia="宋体"/>
          <w:color w:val="auto"/>
          <w:kern w:val="0"/>
          <w:sz w:val="24"/>
          <w:szCs w:val="22"/>
          <w:lang w:eastAsia="zh-CN"/>
        </w:rPr>
        <w:t>南方医科大学口腔医院（广东省口腔医院）采购牙科手机项目(重招)</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leftChars="0" w:right="0" w:rightChars="0" w:firstLine="480" w:firstLineChars="200"/>
        <w:jc w:val="both"/>
        <w:textAlignment w:val="auto"/>
        <w:outlineLvl w:val="9"/>
        <w:rPr>
          <w:rFonts w:hint="eastAsia" w:ascii="宋体" w:hAnsi="宋体" w:eastAsia="宋体"/>
          <w:color w:val="auto"/>
          <w:kern w:val="0"/>
          <w:sz w:val="24"/>
          <w:szCs w:val="22"/>
        </w:rPr>
      </w:pPr>
      <w:r>
        <w:rPr>
          <w:rFonts w:hint="eastAsia" w:ascii="宋体" w:hAnsi="宋体" w:eastAsia="宋体"/>
          <w:color w:val="auto"/>
          <w:kern w:val="0"/>
          <w:sz w:val="24"/>
          <w:szCs w:val="22"/>
        </w:rPr>
        <w:t>采购项目预算金额：</w:t>
      </w:r>
    </w:p>
    <w:p>
      <w:pPr>
        <w:keepNext w:val="0"/>
        <w:keepLines w:val="0"/>
        <w:pageBreakBefore w:val="0"/>
        <w:widowControl w:val="0"/>
        <w:kinsoku/>
        <w:overflowPunct/>
        <w:topLinePunct w:val="0"/>
        <w:autoSpaceDE w:val="0"/>
        <w:autoSpaceDN w:val="0"/>
        <w:bidi w:val="0"/>
        <w:adjustRightInd w:val="0"/>
        <w:spacing w:line="336" w:lineRule="auto"/>
        <w:ind w:firstLine="720" w:firstLineChars="3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1.采购内容：</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17"/>
        <w:gridCol w:w="950"/>
        <w:gridCol w:w="833"/>
        <w:gridCol w:w="434"/>
        <w:gridCol w:w="634"/>
        <w:gridCol w:w="1539"/>
        <w:gridCol w:w="2782"/>
        <w:gridCol w:w="11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7" w:type="dxa"/>
            <w:tcBorders>
              <w:tl2br w:val="nil"/>
              <w:tr2bl w:val="nil"/>
            </w:tcBorders>
            <w:shd w:val="clear" w:color="auto" w:fill="DCDCDC"/>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包组号</w:t>
            </w:r>
          </w:p>
        </w:tc>
        <w:tc>
          <w:tcPr>
            <w:tcW w:w="1467" w:type="dxa"/>
            <w:gridSpan w:val="2"/>
            <w:tcBorders>
              <w:tl2br w:val="nil"/>
              <w:tr2bl w:val="nil"/>
            </w:tcBorders>
            <w:shd w:val="clear" w:color="auto" w:fill="DCDCDC"/>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设备名称</w:t>
            </w:r>
          </w:p>
        </w:tc>
        <w:tc>
          <w:tcPr>
            <w:tcW w:w="833" w:type="dxa"/>
            <w:tcBorders>
              <w:tl2br w:val="nil"/>
              <w:tr2bl w:val="nil"/>
            </w:tcBorders>
            <w:shd w:val="clear" w:color="auto" w:fill="DCDCDC"/>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交货期</w:t>
            </w:r>
          </w:p>
        </w:tc>
        <w:tc>
          <w:tcPr>
            <w:tcW w:w="434" w:type="dxa"/>
            <w:tcBorders>
              <w:tl2br w:val="nil"/>
              <w:tr2bl w:val="nil"/>
            </w:tcBorders>
            <w:shd w:val="clear" w:color="auto" w:fill="DCDCDC"/>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单位</w:t>
            </w:r>
          </w:p>
        </w:tc>
        <w:tc>
          <w:tcPr>
            <w:tcW w:w="634" w:type="dxa"/>
            <w:tcBorders>
              <w:tl2br w:val="nil"/>
              <w:tr2bl w:val="nil"/>
            </w:tcBorders>
            <w:shd w:val="clear" w:color="auto" w:fill="DCDCDC"/>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数量</w:t>
            </w:r>
          </w:p>
        </w:tc>
        <w:tc>
          <w:tcPr>
            <w:tcW w:w="1539" w:type="dxa"/>
            <w:tcBorders>
              <w:tl2br w:val="nil"/>
              <w:tr2bl w:val="nil"/>
            </w:tcBorders>
            <w:shd w:val="clear" w:color="auto" w:fill="DCDCDC"/>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最高单价</w:t>
            </w:r>
            <w:r>
              <w:rPr>
                <w:rFonts w:hint="eastAsia" w:ascii="宋体" w:hAnsi="宋体" w:eastAsia="宋体" w:cs="宋体"/>
                <w:b/>
                <w:bCs/>
                <w:color w:val="auto"/>
                <w:kern w:val="0"/>
                <w:sz w:val="24"/>
                <w:szCs w:val="24"/>
                <w:highlight w:val="none"/>
              </w:rPr>
              <w:t>限价</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人民币</w:t>
            </w:r>
            <w:r>
              <w:rPr>
                <w:rFonts w:hint="eastAsia" w:ascii="宋体" w:hAnsi="宋体" w:eastAsia="宋体" w:cs="宋体"/>
                <w:b/>
                <w:bCs/>
                <w:color w:val="auto"/>
                <w:kern w:val="0"/>
                <w:sz w:val="24"/>
                <w:szCs w:val="24"/>
                <w:highlight w:val="none"/>
                <w:lang w:eastAsia="zh-CN"/>
              </w:rPr>
              <w:t>）</w:t>
            </w:r>
          </w:p>
        </w:tc>
        <w:tc>
          <w:tcPr>
            <w:tcW w:w="2782" w:type="dxa"/>
            <w:tcBorders>
              <w:tl2br w:val="nil"/>
              <w:tr2bl w:val="nil"/>
            </w:tcBorders>
            <w:shd w:val="clear" w:color="auto" w:fill="DCDCDC"/>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最高</w:t>
            </w:r>
            <w:r>
              <w:rPr>
                <w:rFonts w:hint="eastAsia" w:ascii="宋体" w:hAnsi="宋体" w:eastAsia="宋体" w:cs="宋体"/>
                <w:b/>
                <w:bCs/>
                <w:color w:val="auto"/>
                <w:kern w:val="0"/>
                <w:sz w:val="24"/>
                <w:szCs w:val="24"/>
                <w:highlight w:val="none"/>
                <w:lang w:val="en-US" w:eastAsia="zh-CN"/>
              </w:rPr>
              <w:t>总价</w:t>
            </w:r>
            <w:r>
              <w:rPr>
                <w:rFonts w:hint="eastAsia" w:ascii="宋体" w:hAnsi="宋体" w:eastAsia="宋体" w:cs="宋体"/>
                <w:b/>
                <w:bCs/>
                <w:color w:val="auto"/>
                <w:kern w:val="0"/>
                <w:sz w:val="24"/>
                <w:szCs w:val="24"/>
                <w:highlight w:val="none"/>
              </w:rPr>
              <w:t>限价</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人民币</w:t>
            </w:r>
            <w:r>
              <w:rPr>
                <w:rFonts w:hint="eastAsia" w:ascii="宋体" w:hAnsi="宋体" w:eastAsia="宋体" w:cs="宋体"/>
                <w:b/>
                <w:bCs/>
                <w:color w:val="auto"/>
                <w:kern w:val="0"/>
                <w:sz w:val="24"/>
                <w:szCs w:val="24"/>
                <w:highlight w:val="none"/>
                <w:lang w:eastAsia="zh-CN"/>
              </w:rPr>
              <w:t>）</w:t>
            </w:r>
          </w:p>
        </w:tc>
        <w:tc>
          <w:tcPr>
            <w:tcW w:w="1178" w:type="dxa"/>
            <w:tcBorders>
              <w:tl2br w:val="nil"/>
              <w:tr2bl w:val="nil"/>
            </w:tcBorders>
            <w:shd w:val="clear" w:color="auto" w:fill="DCDCDC"/>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77" w:type="dxa"/>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pacing w:line="240" w:lineRule="auto"/>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包组1</w:t>
            </w:r>
          </w:p>
        </w:tc>
        <w:tc>
          <w:tcPr>
            <w:tcW w:w="1467" w:type="dxa"/>
            <w:gridSpan w:val="2"/>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kern w:val="0"/>
                <w:sz w:val="24"/>
                <w:szCs w:val="24"/>
              </w:rPr>
              <w:t>高级</w:t>
            </w:r>
            <w:r>
              <w:rPr>
                <w:rFonts w:hint="eastAsia" w:ascii="宋体" w:hAnsi="宋体" w:eastAsia="宋体" w:cs="宋体"/>
                <w:snapToGrid w:val="0"/>
                <w:kern w:val="0"/>
                <w:sz w:val="24"/>
                <w:szCs w:val="24"/>
              </w:rPr>
              <w:t>45°角</w:t>
            </w:r>
            <w:r>
              <w:rPr>
                <w:rFonts w:hint="eastAsia" w:ascii="宋体" w:hAnsi="宋体" w:eastAsia="宋体" w:cs="宋体"/>
                <w:kern w:val="0"/>
                <w:sz w:val="24"/>
                <w:szCs w:val="24"/>
              </w:rPr>
              <w:t>光纤高速手机</w:t>
            </w:r>
          </w:p>
        </w:tc>
        <w:tc>
          <w:tcPr>
            <w:tcW w:w="833" w:type="dxa"/>
            <w:vMerge w:val="restart"/>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合同签订后60天内交货</w:t>
            </w:r>
          </w:p>
        </w:tc>
        <w:tc>
          <w:tcPr>
            <w:tcW w:w="4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kern w:val="0"/>
                <w:sz w:val="24"/>
                <w:szCs w:val="24"/>
              </w:rPr>
              <w:t>支</w:t>
            </w:r>
          </w:p>
        </w:tc>
        <w:tc>
          <w:tcPr>
            <w:tcW w:w="6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kern w:val="0"/>
                <w:sz w:val="24"/>
                <w:szCs w:val="24"/>
              </w:rPr>
              <w:t>78</w:t>
            </w:r>
          </w:p>
        </w:tc>
        <w:tc>
          <w:tcPr>
            <w:tcW w:w="1539"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kern w:val="0"/>
                <w:sz w:val="24"/>
                <w:szCs w:val="24"/>
              </w:rPr>
              <w:t>7000元/支</w:t>
            </w:r>
          </w:p>
        </w:tc>
        <w:tc>
          <w:tcPr>
            <w:tcW w:w="278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546000.00元</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凡高于最高限价的投标，一律视为无效投标。</w:t>
            </w:r>
          </w:p>
        </w:tc>
        <w:tc>
          <w:tcPr>
            <w:tcW w:w="1178"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kern w:val="0"/>
                <w:sz w:val="24"/>
                <w:szCs w:val="24"/>
              </w:rPr>
              <w:t>配标准光纤快接头</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7" w:type="dxa"/>
            <w:vMerge w:val="restart"/>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pacing w:line="24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包组2</w:t>
            </w:r>
          </w:p>
        </w:tc>
        <w:tc>
          <w:tcPr>
            <w:tcW w:w="517" w:type="dxa"/>
            <w:vMerge w:val="restart"/>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kern w:val="0"/>
                <w:sz w:val="24"/>
                <w:szCs w:val="24"/>
              </w:rPr>
              <w:t>慢速手机</w:t>
            </w:r>
          </w:p>
        </w:tc>
        <w:tc>
          <w:tcPr>
            <w:tcW w:w="950"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慢速弯手机头</w:t>
            </w:r>
          </w:p>
        </w:tc>
        <w:tc>
          <w:tcPr>
            <w:tcW w:w="833" w:type="dxa"/>
            <w:vMerge w:val="continue"/>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kern w:val="0"/>
                <w:sz w:val="24"/>
                <w:szCs w:val="24"/>
              </w:rPr>
            </w:pPr>
          </w:p>
        </w:tc>
        <w:tc>
          <w:tcPr>
            <w:tcW w:w="4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支</w:t>
            </w:r>
          </w:p>
        </w:tc>
        <w:tc>
          <w:tcPr>
            <w:tcW w:w="6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92</w:t>
            </w:r>
          </w:p>
        </w:tc>
        <w:tc>
          <w:tcPr>
            <w:tcW w:w="1539"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700元/支</w:t>
            </w:r>
          </w:p>
        </w:tc>
        <w:tc>
          <w:tcPr>
            <w:tcW w:w="278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64400.00元</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凡高于最高限价的投标，一律视为无效投标。</w:t>
            </w:r>
          </w:p>
        </w:tc>
        <w:tc>
          <w:tcPr>
            <w:tcW w:w="1178"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7" w:type="dxa"/>
            <w:vMerge w:val="continue"/>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pacing w:line="24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517" w:type="dxa"/>
            <w:vMerge w:val="continue"/>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p>
        </w:tc>
        <w:tc>
          <w:tcPr>
            <w:tcW w:w="950"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慢速直手机头</w:t>
            </w:r>
          </w:p>
        </w:tc>
        <w:tc>
          <w:tcPr>
            <w:tcW w:w="833" w:type="dxa"/>
            <w:vMerge w:val="continue"/>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kern w:val="0"/>
                <w:sz w:val="24"/>
                <w:szCs w:val="24"/>
              </w:rPr>
            </w:pPr>
          </w:p>
        </w:tc>
        <w:tc>
          <w:tcPr>
            <w:tcW w:w="4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支</w:t>
            </w:r>
          </w:p>
        </w:tc>
        <w:tc>
          <w:tcPr>
            <w:tcW w:w="6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21</w:t>
            </w:r>
          </w:p>
        </w:tc>
        <w:tc>
          <w:tcPr>
            <w:tcW w:w="1539"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1100元/支</w:t>
            </w:r>
          </w:p>
        </w:tc>
        <w:tc>
          <w:tcPr>
            <w:tcW w:w="278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23100.00元</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凡高于最高限价的投标，一律视为无效投标。</w:t>
            </w:r>
          </w:p>
        </w:tc>
        <w:tc>
          <w:tcPr>
            <w:tcW w:w="1178"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7" w:type="dxa"/>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pacing w:line="24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包组3</w:t>
            </w:r>
          </w:p>
        </w:tc>
        <w:tc>
          <w:tcPr>
            <w:tcW w:w="1467" w:type="dxa"/>
            <w:gridSpan w:val="2"/>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kern w:val="0"/>
                <w:sz w:val="24"/>
                <w:szCs w:val="24"/>
              </w:rPr>
              <w:t>镍钛根备手机</w:t>
            </w:r>
          </w:p>
        </w:tc>
        <w:tc>
          <w:tcPr>
            <w:tcW w:w="833" w:type="dxa"/>
            <w:vMerge w:val="continue"/>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kern w:val="0"/>
                <w:sz w:val="24"/>
                <w:szCs w:val="24"/>
              </w:rPr>
            </w:pPr>
          </w:p>
        </w:tc>
        <w:tc>
          <w:tcPr>
            <w:tcW w:w="4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支</w:t>
            </w:r>
          </w:p>
        </w:tc>
        <w:tc>
          <w:tcPr>
            <w:tcW w:w="6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66</w:t>
            </w:r>
          </w:p>
        </w:tc>
        <w:tc>
          <w:tcPr>
            <w:tcW w:w="1539"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3500元/支</w:t>
            </w:r>
          </w:p>
        </w:tc>
        <w:tc>
          <w:tcPr>
            <w:tcW w:w="278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231000.00元</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凡高于最高限价的投标，一律视为无效投标。</w:t>
            </w:r>
          </w:p>
        </w:tc>
        <w:tc>
          <w:tcPr>
            <w:tcW w:w="1178"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7" w:type="dxa"/>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pacing w:line="24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包组4</w:t>
            </w:r>
          </w:p>
        </w:tc>
        <w:tc>
          <w:tcPr>
            <w:tcW w:w="1467" w:type="dxa"/>
            <w:gridSpan w:val="2"/>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kern w:val="0"/>
                <w:sz w:val="24"/>
                <w:szCs w:val="24"/>
              </w:rPr>
              <w:t>高级标准型光纤高速手机</w:t>
            </w:r>
          </w:p>
        </w:tc>
        <w:tc>
          <w:tcPr>
            <w:tcW w:w="833" w:type="dxa"/>
            <w:vMerge w:val="continue"/>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kern w:val="0"/>
                <w:sz w:val="24"/>
                <w:szCs w:val="24"/>
              </w:rPr>
            </w:pPr>
          </w:p>
        </w:tc>
        <w:tc>
          <w:tcPr>
            <w:tcW w:w="4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支</w:t>
            </w:r>
          </w:p>
        </w:tc>
        <w:tc>
          <w:tcPr>
            <w:tcW w:w="6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136</w:t>
            </w:r>
          </w:p>
        </w:tc>
        <w:tc>
          <w:tcPr>
            <w:tcW w:w="1539"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4360元/支</w:t>
            </w:r>
          </w:p>
        </w:tc>
        <w:tc>
          <w:tcPr>
            <w:tcW w:w="278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592960.00元</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凡高于最高限价的投标，一律视为无效投标。</w:t>
            </w:r>
          </w:p>
        </w:tc>
        <w:tc>
          <w:tcPr>
            <w:tcW w:w="1178"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kern w:val="0"/>
                <w:sz w:val="24"/>
                <w:szCs w:val="24"/>
              </w:rPr>
              <w:t>配标准光纤快接头</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7" w:type="dxa"/>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pacing w:line="24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包组5</w:t>
            </w:r>
          </w:p>
        </w:tc>
        <w:tc>
          <w:tcPr>
            <w:tcW w:w="1467" w:type="dxa"/>
            <w:gridSpan w:val="2"/>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kern w:val="0"/>
                <w:sz w:val="24"/>
                <w:szCs w:val="24"/>
              </w:rPr>
              <w:t>高级</w:t>
            </w:r>
            <w:r>
              <w:rPr>
                <w:rFonts w:hint="eastAsia" w:ascii="宋体" w:hAnsi="宋体" w:eastAsia="宋体" w:cs="宋体"/>
                <w:snapToGrid w:val="0"/>
                <w:kern w:val="0"/>
                <w:sz w:val="24"/>
                <w:szCs w:val="24"/>
              </w:rPr>
              <w:t>标准型</w:t>
            </w:r>
            <w:r>
              <w:rPr>
                <w:rFonts w:hint="eastAsia" w:ascii="宋体" w:hAnsi="宋体" w:eastAsia="宋体" w:cs="宋体"/>
                <w:kern w:val="0"/>
                <w:sz w:val="24"/>
                <w:szCs w:val="24"/>
              </w:rPr>
              <w:t>高速手机</w:t>
            </w:r>
          </w:p>
        </w:tc>
        <w:tc>
          <w:tcPr>
            <w:tcW w:w="833" w:type="dxa"/>
            <w:vMerge w:val="continue"/>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kern w:val="0"/>
                <w:sz w:val="24"/>
                <w:szCs w:val="24"/>
              </w:rPr>
            </w:pPr>
          </w:p>
        </w:tc>
        <w:tc>
          <w:tcPr>
            <w:tcW w:w="4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支</w:t>
            </w:r>
          </w:p>
        </w:tc>
        <w:tc>
          <w:tcPr>
            <w:tcW w:w="634"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30</w:t>
            </w:r>
          </w:p>
        </w:tc>
        <w:tc>
          <w:tcPr>
            <w:tcW w:w="1539"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val="0"/>
                <w:bCs w:val="0"/>
                <w:kern w:val="0"/>
                <w:sz w:val="24"/>
                <w:szCs w:val="24"/>
              </w:rPr>
            </w:pPr>
            <w:r>
              <w:rPr>
                <w:rFonts w:hint="eastAsia" w:ascii="宋体" w:hAnsi="宋体" w:eastAsia="宋体" w:cs="宋体"/>
                <w:kern w:val="0"/>
                <w:sz w:val="24"/>
                <w:szCs w:val="24"/>
              </w:rPr>
              <w:t>3720元/支</w:t>
            </w:r>
          </w:p>
        </w:tc>
        <w:tc>
          <w:tcPr>
            <w:tcW w:w="278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111600.00元</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凡高于最高限价的投标，一律视为无效投标。</w:t>
            </w:r>
          </w:p>
        </w:tc>
        <w:tc>
          <w:tcPr>
            <w:tcW w:w="1178"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kern w:val="0"/>
                <w:sz w:val="24"/>
                <w:szCs w:val="24"/>
              </w:rPr>
              <w:t>配标准快接头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684" w:type="dxa"/>
            <w:gridSpan w:val="7"/>
            <w:tcBorders>
              <w:tl2br w:val="nil"/>
              <w:tr2bl w:val="nil"/>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合计</w:t>
            </w:r>
          </w:p>
        </w:tc>
        <w:tc>
          <w:tcPr>
            <w:tcW w:w="278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1569060.00元</w:t>
            </w:r>
          </w:p>
        </w:tc>
        <w:tc>
          <w:tcPr>
            <w:tcW w:w="1178" w:type="dxa"/>
            <w:tcBorders>
              <w:tl2br w:val="nil"/>
              <w:tr2bl w:val="nil"/>
            </w:tcBorders>
            <w:noWrap w:val="0"/>
            <w:vAlign w:val="center"/>
          </w:tcPr>
          <w:p>
            <w:pPr>
              <w:autoSpaceDE w:val="0"/>
              <w:autoSpaceDN w:val="0"/>
              <w:adjustRightInd w:val="0"/>
              <w:spacing w:line="240" w:lineRule="auto"/>
              <w:jc w:val="center"/>
              <w:rPr>
                <w:rFonts w:hint="eastAsia" w:ascii="宋体" w:hAnsi="宋体" w:eastAsia="宋体" w:cs="宋体"/>
                <w:b/>
                <w:bCs/>
                <w:color w:val="auto"/>
                <w:kern w:val="0"/>
                <w:sz w:val="24"/>
                <w:szCs w:val="24"/>
                <w:highlight w:val="none"/>
                <w:lang w:eastAsia="zh-CN"/>
              </w:rPr>
            </w:pPr>
          </w:p>
        </w:tc>
      </w:tr>
    </w:tbl>
    <w:p>
      <w:pPr>
        <w:keepNext w:val="0"/>
        <w:keepLines w:val="0"/>
        <w:pageBreakBefore w:val="0"/>
        <w:widowControl w:val="0"/>
        <w:kinsoku/>
        <w:overflowPunct/>
        <w:topLinePunct w:val="0"/>
        <w:autoSpaceDE w:val="0"/>
        <w:autoSpaceDN w:val="0"/>
        <w:bidi w:val="0"/>
        <w:adjustRightInd w:val="0"/>
        <w:spacing w:line="336" w:lineRule="auto"/>
        <w:ind w:firstLine="720" w:firstLineChars="3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详细技术规范请参阅招标文件中的《用户需求书》。</w:t>
      </w:r>
    </w:p>
    <w:p>
      <w:pPr>
        <w:autoSpaceDE w:val="0"/>
        <w:autoSpaceDN w:val="0"/>
        <w:adjustRightInd w:val="0"/>
        <w:spacing w:line="312" w:lineRule="auto"/>
        <w:ind w:left="320" w:leftChars="100"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投标人应对本项目</w:t>
      </w:r>
      <w:r>
        <w:rPr>
          <w:rFonts w:hint="eastAsia" w:ascii="宋体" w:hAnsi="宋体" w:eastAsia="宋体" w:cs="宋体"/>
          <w:color w:val="auto"/>
          <w:kern w:val="0"/>
          <w:sz w:val="24"/>
          <w:szCs w:val="24"/>
          <w:highlight w:val="none"/>
          <w:lang w:val="en-US" w:eastAsia="zh-CN"/>
        </w:rPr>
        <w:t>所投包组内</w:t>
      </w:r>
      <w:r>
        <w:rPr>
          <w:rFonts w:hint="eastAsia" w:ascii="宋体" w:hAnsi="宋体" w:eastAsia="宋体" w:cs="宋体"/>
          <w:color w:val="auto"/>
          <w:kern w:val="0"/>
          <w:sz w:val="24"/>
          <w:szCs w:val="24"/>
          <w:highlight w:val="none"/>
        </w:rPr>
        <w:t>的全部内容进行投标，不允许仅对其中部分内容进行投标，任何只对其中部分内容进行的投标均被视为无效投标</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eastAsia" w:ascii="宋体" w:hAnsi="宋体" w:eastAsia="宋体"/>
          <w:color w:val="auto"/>
          <w:kern w:val="0"/>
          <w:sz w:val="24"/>
          <w:szCs w:val="22"/>
          <w:lang w:eastAsia="zh-CN"/>
        </w:rPr>
      </w:pPr>
      <w:r>
        <w:rPr>
          <w:rFonts w:hint="eastAsia" w:ascii="宋体" w:hAnsi="宋体" w:eastAsia="宋体"/>
          <w:color w:val="auto"/>
          <w:kern w:val="0"/>
          <w:sz w:val="24"/>
          <w:szCs w:val="22"/>
          <w:lang w:eastAsia="zh-CN"/>
        </w:rPr>
        <w:t>四、采购方式：</w:t>
      </w:r>
      <w:r>
        <w:rPr>
          <w:rFonts w:hint="eastAsia" w:ascii="宋体" w:hAnsi="宋体" w:eastAsia="宋体"/>
          <w:color w:val="auto"/>
          <w:kern w:val="0"/>
          <w:sz w:val="24"/>
          <w:szCs w:val="22"/>
          <w:lang w:val="zh-CN" w:eastAsia="zh-CN"/>
        </w:rPr>
        <w:t>公开招标</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eastAsia" w:ascii="宋体" w:hAnsi="宋体" w:eastAsia="宋体"/>
          <w:color w:val="auto"/>
          <w:kern w:val="0"/>
          <w:sz w:val="24"/>
          <w:szCs w:val="22"/>
          <w:lang w:eastAsia="zh-CN"/>
        </w:rPr>
      </w:pPr>
      <w:r>
        <w:rPr>
          <w:rFonts w:hint="eastAsia" w:ascii="宋体" w:hAnsi="宋体" w:eastAsia="宋体"/>
          <w:color w:val="auto"/>
          <w:kern w:val="0"/>
          <w:sz w:val="24"/>
          <w:szCs w:val="22"/>
          <w:lang w:val="en-US" w:eastAsia="zh-CN"/>
        </w:rPr>
        <w:t>五、</w:t>
      </w:r>
      <w:r>
        <w:rPr>
          <w:rFonts w:hint="eastAsia" w:ascii="宋体" w:hAnsi="宋体" w:eastAsia="宋体"/>
          <w:color w:val="auto"/>
          <w:kern w:val="0"/>
          <w:sz w:val="24"/>
          <w:szCs w:val="22"/>
          <w:lang w:eastAsia="zh-CN"/>
        </w:rPr>
        <w:t>中标（成交）供应商名称：</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eastAsia" w:hAnsi="宋体"/>
          <w:color w:val="auto"/>
          <w:kern w:val="0"/>
          <w:sz w:val="24"/>
          <w:szCs w:val="22"/>
          <w:lang w:val="en-US" w:eastAsia="zh-CN"/>
        </w:rPr>
      </w:pPr>
      <w:r>
        <w:rPr>
          <w:rFonts w:hint="eastAsia" w:hAnsi="宋体"/>
          <w:color w:val="auto"/>
          <w:kern w:val="0"/>
          <w:sz w:val="24"/>
          <w:szCs w:val="22"/>
          <w:lang w:val="en-US" w:eastAsia="zh-CN"/>
        </w:rPr>
        <w:t>包组1：广州远东医疗科技有限公司</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eastAsia" w:hAnsi="宋体"/>
          <w:color w:val="auto"/>
          <w:kern w:val="0"/>
          <w:sz w:val="24"/>
          <w:szCs w:val="22"/>
          <w:lang w:val="en-US" w:eastAsia="zh-CN"/>
        </w:rPr>
      </w:pPr>
      <w:r>
        <w:rPr>
          <w:rFonts w:hint="eastAsia" w:hAnsi="宋体"/>
          <w:color w:val="auto"/>
          <w:kern w:val="0"/>
          <w:sz w:val="24"/>
          <w:szCs w:val="22"/>
          <w:lang w:val="en-US" w:eastAsia="zh-CN"/>
        </w:rPr>
        <w:t>法定代表人：张妮</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eastAsia" w:hAnsi="宋体"/>
          <w:color w:val="auto"/>
          <w:kern w:val="0"/>
          <w:sz w:val="24"/>
          <w:szCs w:val="22"/>
          <w:lang w:val="en-US" w:eastAsia="zh-CN"/>
        </w:rPr>
      </w:pPr>
      <w:r>
        <w:rPr>
          <w:rFonts w:hint="eastAsia" w:hAnsi="宋体"/>
          <w:color w:val="auto"/>
          <w:kern w:val="0"/>
          <w:sz w:val="24"/>
          <w:szCs w:val="22"/>
          <w:lang w:val="en-US" w:eastAsia="zh-CN"/>
        </w:rPr>
        <w:t>中标供应商地址：广州市天河区燕岭路123号5层（部位：510房）</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hAnsi="宋体"/>
          <w:color w:val="auto"/>
          <w:kern w:val="0"/>
          <w:sz w:val="24"/>
          <w:szCs w:val="22"/>
          <w:lang w:val="en-US" w:eastAsia="zh-CN"/>
        </w:rPr>
      </w:pPr>
      <w:r>
        <w:rPr>
          <w:rFonts w:hint="default" w:hAnsi="宋体"/>
          <w:color w:val="auto"/>
          <w:kern w:val="0"/>
          <w:sz w:val="24"/>
          <w:szCs w:val="22"/>
          <w:lang w:val="en-US" w:eastAsia="zh-CN"/>
        </w:rPr>
        <w:t>包组</w:t>
      </w:r>
      <w:r>
        <w:rPr>
          <w:rFonts w:hint="eastAsia" w:hAnsi="宋体"/>
          <w:color w:val="auto"/>
          <w:kern w:val="0"/>
          <w:sz w:val="24"/>
          <w:szCs w:val="22"/>
          <w:lang w:val="en-US" w:eastAsia="zh-CN"/>
        </w:rPr>
        <w:t>3</w:t>
      </w:r>
      <w:r>
        <w:rPr>
          <w:rFonts w:hint="default" w:hAnsi="宋体"/>
          <w:color w:val="auto"/>
          <w:kern w:val="0"/>
          <w:sz w:val="24"/>
          <w:szCs w:val="22"/>
          <w:lang w:val="en-US" w:eastAsia="zh-CN"/>
        </w:rPr>
        <w:t>：广州市诚屹进出口有限公司</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hAnsi="宋体"/>
          <w:color w:val="auto"/>
          <w:kern w:val="0"/>
          <w:sz w:val="24"/>
          <w:szCs w:val="22"/>
          <w:lang w:val="en-US" w:eastAsia="zh-CN"/>
        </w:rPr>
      </w:pPr>
      <w:r>
        <w:rPr>
          <w:rFonts w:hint="default" w:hAnsi="宋体"/>
          <w:color w:val="auto"/>
          <w:kern w:val="0"/>
          <w:sz w:val="24"/>
          <w:szCs w:val="22"/>
          <w:lang w:val="en-US" w:eastAsia="zh-CN"/>
        </w:rPr>
        <w:t>法定代表人：张慧娟</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hAnsi="宋体"/>
          <w:color w:val="auto"/>
          <w:kern w:val="0"/>
          <w:sz w:val="24"/>
          <w:szCs w:val="22"/>
          <w:lang w:val="en-US" w:eastAsia="zh-CN"/>
        </w:rPr>
      </w:pPr>
      <w:r>
        <w:rPr>
          <w:rFonts w:hint="default" w:hAnsi="宋体"/>
          <w:color w:val="auto"/>
          <w:kern w:val="0"/>
          <w:sz w:val="24"/>
          <w:szCs w:val="22"/>
          <w:lang w:val="en-US" w:eastAsia="zh-CN"/>
        </w:rPr>
        <w:t>中标供应商地址：广州高新技术产业开发区科研路2号自编4栋306</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eastAsia" w:ascii="宋体" w:hAnsi="宋体" w:eastAsia="宋体"/>
          <w:color w:val="auto"/>
          <w:kern w:val="0"/>
          <w:sz w:val="24"/>
          <w:szCs w:val="22"/>
          <w:lang w:val="en-US" w:eastAsia="zh-CN"/>
        </w:rPr>
      </w:pPr>
      <w:r>
        <w:rPr>
          <w:rFonts w:hint="eastAsia" w:ascii="宋体" w:hAnsi="宋体" w:eastAsia="宋体"/>
          <w:color w:val="auto"/>
          <w:kern w:val="0"/>
          <w:sz w:val="24"/>
          <w:szCs w:val="22"/>
          <w:lang w:val="en-US" w:eastAsia="zh-CN"/>
        </w:rPr>
        <w:t>包组4：广州市银星医疗器材有限公司</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default" w:ascii="宋体" w:hAnsi="宋体" w:eastAsia="宋体"/>
          <w:color w:val="auto"/>
          <w:kern w:val="0"/>
          <w:sz w:val="24"/>
          <w:szCs w:val="22"/>
          <w:lang w:val="en-US" w:eastAsia="zh-CN"/>
        </w:rPr>
      </w:pPr>
      <w:r>
        <w:rPr>
          <w:rFonts w:hint="eastAsia" w:ascii="宋体" w:hAnsi="宋体" w:eastAsia="宋体"/>
          <w:color w:val="auto"/>
          <w:kern w:val="0"/>
          <w:sz w:val="24"/>
          <w:szCs w:val="22"/>
          <w:lang w:val="en-US" w:eastAsia="zh-CN"/>
        </w:rPr>
        <w:t>法定代表人：林果</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default" w:ascii="宋体" w:hAnsi="宋体" w:eastAsia="宋体"/>
          <w:color w:val="auto"/>
          <w:kern w:val="0"/>
          <w:sz w:val="24"/>
          <w:szCs w:val="22"/>
          <w:lang w:val="en-US" w:eastAsia="zh-CN"/>
        </w:rPr>
      </w:pPr>
      <w:r>
        <w:rPr>
          <w:rFonts w:hint="eastAsia" w:ascii="宋体" w:hAnsi="宋体" w:eastAsia="宋体"/>
          <w:color w:val="auto"/>
          <w:kern w:val="0"/>
          <w:sz w:val="24"/>
          <w:szCs w:val="22"/>
          <w:lang w:val="en-US" w:eastAsia="zh-CN"/>
        </w:rPr>
        <w:t>中标供应商地址：广州市荔湾区荔湾路104路5号楼二层201室</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eastAsia" w:ascii="宋体" w:hAnsi="宋体" w:eastAsia="宋体"/>
          <w:color w:val="auto"/>
          <w:kern w:val="0"/>
          <w:sz w:val="24"/>
          <w:szCs w:val="22"/>
          <w:lang w:val="en-US" w:eastAsia="zh-CN"/>
        </w:rPr>
      </w:pPr>
      <w:r>
        <w:rPr>
          <w:rFonts w:hint="eastAsia" w:ascii="宋体" w:hAnsi="宋体" w:eastAsia="宋体"/>
          <w:color w:val="auto"/>
          <w:kern w:val="0"/>
          <w:sz w:val="24"/>
          <w:szCs w:val="22"/>
          <w:lang w:val="en-US" w:eastAsia="zh-CN"/>
        </w:rPr>
        <w:t>包组5：广州市银星医疗器材有限公司</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default" w:ascii="宋体" w:hAnsi="宋体" w:eastAsia="宋体"/>
          <w:color w:val="auto"/>
          <w:kern w:val="0"/>
          <w:sz w:val="24"/>
          <w:szCs w:val="22"/>
          <w:lang w:val="en-US" w:eastAsia="zh-CN"/>
        </w:rPr>
      </w:pPr>
      <w:r>
        <w:rPr>
          <w:rFonts w:hint="eastAsia" w:ascii="宋体" w:hAnsi="宋体" w:eastAsia="宋体"/>
          <w:color w:val="auto"/>
          <w:kern w:val="0"/>
          <w:sz w:val="24"/>
          <w:szCs w:val="22"/>
          <w:lang w:val="en-US" w:eastAsia="zh-CN"/>
        </w:rPr>
        <w:t>法定代表人：林果</w:t>
      </w:r>
    </w:p>
    <w:p>
      <w:pPr>
        <w:keepNext w:val="0"/>
        <w:keepLines w:val="0"/>
        <w:pageBreakBefore w:val="0"/>
        <w:widowControl w:val="0"/>
        <w:kinsoku/>
        <w:wordWrap/>
        <w:overflowPunct/>
        <w:topLinePunct w:val="0"/>
        <w:autoSpaceDE/>
        <w:autoSpaceDN/>
        <w:bidi w:val="0"/>
        <w:adjustRightInd w:val="0"/>
        <w:snapToGrid w:val="0"/>
        <w:spacing w:line="360" w:lineRule="auto"/>
        <w:ind w:left="480" w:leftChars="150" w:right="0" w:rightChars="0" w:firstLine="0" w:firstLineChars="0"/>
        <w:jc w:val="both"/>
        <w:textAlignment w:val="auto"/>
        <w:outlineLvl w:val="9"/>
        <w:rPr>
          <w:rFonts w:hint="eastAsia" w:ascii="宋体" w:hAnsi="宋体" w:eastAsia="宋体"/>
          <w:color w:val="auto"/>
          <w:kern w:val="0"/>
          <w:sz w:val="24"/>
          <w:szCs w:val="22"/>
          <w:lang w:val="en-US" w:eastAsia="zh-CN"/>
        </w:rPr>
      </w:pPr>
      <w:r>
        <w:rPr>
          <w:rFonts w:hint="eastAsia" w:ascii="宋体" w:hAnsi="宋体" w:eastAsia="宋体"/>
          <w:color w:val="auto"/>
          <w:kern w:val="0"/>
          <w:sz w:val="24"/>
          <w:szCs w:val="22"/>
          <w:lang w:val="en-US" w:eastAsia="zh-CN"/>
        </w:rPr>
        <w:t>中标供应商地址：广州市荔湾区荔湾路104路5号楼二层201室</w:t>
      </w:r>
    </w:p>
    <w:p>
      <w:pPr>
        <w:numPr>
          <w:ilvl w:val="0"/>
          <w:numId w:val="2"/>
        </w:numPr>
        <w:tabs>
          <w:tab w:val="left" w:pos="360"/>
        </w:tabs>
        <w:ind w:firstLine="480" w:firstLineChars="200"/>
        <w:jc w:val="both"/>
        <w:rPr>
          <w:rFonts w:hint="eastAsia" w:ascii="宋体" w:hAnsi="宋体" w:eastAsia="宋体" w:cs="宋体"/>
          <w:b w:val="0"/>
          <w:bCs/>
          <w:i w:val="0"/>
          <w:color w:val="auto"/>
          <w:kern w:val="0"/>
          <w:sz w:val="24"/>
          <w:szCs w:val="24"/>
          <w:u w:val="none"/>
          <w:lang w:val="en-US" w:eastAsia="zh-CN" w:bidi="ar"/>
        </w:rPr>
      </w:pPr>
      <w:r>
        <w:rPr>
          <w:rFonts w:hint="eastAsia" w:ascii="宋体" w:hAnsi="宋体" w:eastAsia="宋体" w:cs="宋体"/>
          <w:b w:val="0"/>
          <w:bCs/>
          <w:i w:val="0"/>
          <w:color w:val="auto"/>
          <w:kern w:val="0"/>
          <w:sz w:val="24"/>
          <w:szCs w:val="24"/>
          <w:u w:val="none"/>
          <w:lang w:val="en-US" w:eastAsia="zh-CN" w:bidi="ar"/>
        </w:rPr>
        <w:t>报价明细：</w:t>
      </w: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p>
      <w:pPr>
        <w:pStyle w:val="2"/>
        <w:widowControl w:val="0"/>
        <w:numPr>
          <w:ilvl w:val="0"/>
          <w:numId w:val="0"/>
        </w:numPr>
        <w:autoSpaceDE w:val="0"/>
        <w:autoSpaceDN w:val="0"/>
        <w:adjustRightInd w:val="0"/>
        <w:snapToGrid w:val="0"/>
        <w:jc w:val="left"/>
        <w:rPr>
          <w:rFonts w:hint="eastAsia"/>
          <w:lang w:val="en-US" w:eastAsia="zh-CN"/>
        </w:rPr>
      </w:pPr>
    </w:p>
    <w:tbl>
      <w:tblPr>
        <w:tblStyle w:val="22"/>
        <w:tblpPr w:leftFromText="180" w:rightFromText="180" w:vertAnchor="text" w:horzAnchor="page" w:tblpX="631" w:tblpY="106"/>
        <w:tblOverlap w:val="never"/>
        <w:tblW w:w="10967" w:type="dxa"/>
        <w:tblInd w:w="0" w:type="dxa"/>
        <w:tblLayout w:type="fixed"/>
        <w:tblCellMar>
          <w:top w:w="15" w:type="dxa"/>
          <w:left w:w="108" w:type="dxa"/>
          <w:bottom w:w="15" w:type="dxa"/>
          <w:right w:w="108" w:type="dxa"/>
        </w:tblCellMar>
      </w:tblPr>
      <w:tblGrid>
        <w:gridCol w:w="1434"/>
        <w:gridCol w:w="922"/>
        <w:gridCol w:w="1680"/>
        <w:gridCol w:w="1880"/>
        <w:gridCol w:w="1518"/>
        <w:gridCol w:w="882"/>
        <w:gridCol w:w="920"/>
        <w:gridCol w:w="1731"/>
      </w:tblGrid>
      <w:tr>
        <w:tblPrEx>
          <w:tblCellMar>
            <w:top w:w="15" w:type="dxa"/>
            <w:left w:w="108" w:type="dxa"/>
            <w:bottom w:w="15" w:type="dxa"/>
            <w:right w:w="108" w:type="dxa"/>
          </w:tblCellMar>
        </w:tblPrEx>
        <w:trPr>
          <w:trHeight w:val="989" w:hRule="atLeast"/>
        </w:trPr>
        <w:tc>
          <w:tcPr>
            <w:tcW w:w="1434"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主要中标、成交标的名称</w:t>
            </w:r>
          </w:p>
        </w:tc>
        <w:tc>
          <w:tcPr>
            <w:tcW w:w="922"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规格型号</w:t>
            </w:r>
          </w:p>
        </w:tc>
        <w:tc>
          <w:tcPr>
            <w:tcW w:w="1680"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default"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交货期</w:t>
            </w:r>
          </w:p>
        </w:tc>
        <w:tc>
          <w:tcPr>
            <w:tcW w:w="1880"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质保期（年）</w:t>
            </w:r>
          </w:p>
        </w:tc>
        <w:tc>
          <w:tcPr>
            <w:tcW w:w="1518"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备注</w:t>
            </w:r>
          </w:p>
        </w:tc>
        <w:tc>
          <w:tcPr>
            <w:tcW w:w="882"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单价（元）</w:t>
            </w:r>
          </w:p>
        </w:tc>
        <w:tc>
          <w:tcPr>
            <w:tcW w:w="920"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服务要求</w:t>
            </w:r>
          </w:p>
        </w:tc>
        <w:tc>
          <w:tcPr>
            <w:tcW w:w="1731" w:type="dxa"/>
            <w:tcBorders>
              <w:top w:val="single" w:color="auto" w:sz="8" w:space="0"/>
              <w:left w:val="single" w:color="auto" w:sz="4" w:space="0"/>
              <w:bottom w:val="single" w:color="auto" w:sz="4" w:space="0"/>
              <w:right w:val="single" w:color="auto" w:sz="4" w:space="0"/>
            </w:tcBorders>
            <w:shd w:val="pct10" w:color="auto" w:fill="auto"/>
            <w:vAlign w:val="center"/>
          </w:tcPr>
          <w:p>
            <w:pPr>
              <w:tabs>
                <w:tab w:val="left" w:pos="360"/>
              </w:tabs>
              <w:jc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中标、成交金额（元）</w:t>
            </w:r>
          </w:p>
        </w:tc>
      </w:tr>
      <w:tr>
        <w:tblPrEx>
          <w:tblCellMar>
            <w:top w:w="15" w:type="dxa"/>
            <w:left w:w="108" w:type="dxa"/>
            <w:bottom w:w="15" w:type="dxa"/>
            <w:right w:w="108" w:type="dxa"/>
          </w:tblCellMar>
        </w:tblPrEx>
        <w:trPr>
          <w:trHeight w:val="4725" w:hRule="atLeast"/>
        </w:trPr>
        <w:tc>
          <w:tcPr>
            <w:tcW w:w="1434"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南方医科大学口腔医院（广东省口腔医院）采购牙科手机项目</w:t>
            </w:r>
          </w:p>
        </w:tc>
        <w:tc>
          <w:tcPr>
            <w:tcW w:w="922"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default"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w:t>
            </w:r>
          </w:p>
        </w:tc>
        <w:tc>
          <w:tcPr>
            <w:tcW w:w="168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包组1：合同签订60天内</w:t>
            </w:r>
          </w:p>
          <w:p>
            <w:pPr>
              <w:pStyle w:val="2"/>
              <w:rPr>
                <w:rFonts w:hint="default"/>
                <w:lang w:val="en-US" w:eastAsia="zh-CN"/>
              </w:rPr>
            </w:pPr>
            <w:r>
              <w:rPr>
                <w:rFonts w:hint="eastAsia" w:hAnsi="宋体" w:cs="宋体"/>
                <w:b w:val="0"/>
                <w:bCs/>
                <w:i w:val="0"/>
                <w:color w:val="auto"/>
                <w:kern w:val="0"/>
                <w:sz w:val="24"/>
                <w:szCs w:val="24"/>
                <w:highlight w:val="none"/>
                <w:u w:val="none"/>
                <w:lang w:val="en-US" w:eastAsia="zh-CN" w:bidi="ar"/>
              </w:rPr>
              <w:t>包组3：合同签订后60天内交货</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包组4：合同签订后30天</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包组5：合同签订后30天</w:t>
            </w:r>
          </w:p>
          <w:p>
            <w:pPr>
              <w:tabs>
                <w:tab w:val="left" w:pos="360"/>
              </w:tabs>
              <w:jc w:val="center"/>
              <w:rPr>
                <w:rFonts w:hint="default" w:ascii="宋体" w:hAnsi="宋体" w:eastAsia="宋体" w:cs="宋体"/>
                <w:b w:val="0"/>
                <w:bCs/>
                <w:i w:val="0"/>
                <w:color w:val="auto"/>
                <w:kern w:val="0"/>
                <w:sz w:val="24"/>
                <w:szCs w:val="24"/>
                <w:highlight w:val="none"/>
                <w:u w:val="none"/>
                <w:lang w:val="en-US" w:eastAsia="zh-CN" w:bidi="ar"/>
              </w:rPr>
            </w:pPr>
          </w:p>
        </w:tc>
        <w:tc>
          <w:tcPr>
            <w:tcW w:w="188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包组1：保修2年</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包组3：2.5</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包组4：2.1年（25个月）</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包组5：2.1年（25个月）</w:t>
            </w:r>
          </w:p>
        </w:tc>
        <w:tc>
          <w:tcPr>
            <w:tcW w:w="1518"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包组1：配标准光纤快接头16只</w:t>
            </w:r>
          </w:p>
          <w:p>
            <w:pPr>
              <w:tabs>
                <w:tab w:val="left" w:pos="360"/>
              </w:tabs>
              <w:jc w:val="center"/>
              <w:rPr>
                <w:rFonts w:hint="default"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包组3：/</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包组4：配标准光纤快接头R型28只</w:t>
            </w:r>
          </w:p>
          <w:p>
            <w:pPr>
              <w:tabs>
                <w:tab w:val="left" w:pos="360"/>
              </w:tabs>
              <w:jc w:val="center"/>
              <w:rPr>
                <w:rFonts w:hint="default"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包组5：配标准快接头B型6只</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default"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w:t>
            </w:r>
          </w:p>
        </w:tc>
        <w:tc>
          <w:tcPr>
            <w:tcW w:w="92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按《招标文件》要求和《投标文件》响应执行</w:t>
            </w:r>
          </w:p>
        </w:tc>
        <w:tc>
          <w:tcPr>
            <w:tcW w:w="1731"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包组1：￥436,878.00</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包组3：￥230,670.00</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包组4：￥539,240.00</w:t>
            </w:r>
          </w:p>
          <w:p>
            <w:pPr>
              <w:tabs>
                <w:tab w:val="left" w:pos="360"/>
              </w:tabs>
              <w:jc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包组5：￥91,500.00</w:t>
            </w:r>
          </w:p>
          <w:p>
            <w:pPr>
              <w:tabs>
                <w:tab w:val="left" w:pos="360"/>
              </w:tabs>
              <w:jc w:val="center"/>
              <w:rPr>
                <w:rFonts w:hint="default" w:ascii="宋体" w:hAnsi="宋体" w:eastAsia="宋体" w:cs="宋体"/>
                <w:b w:val="0"/>
                <w:bCs/>
                <w:i w:val="0"/>
                <w:color w:val="auto"/>
                <w:kern w:val="0"/>
                <w:sz w:val="24"/>
                <w:szCs w:val="24"/>
                <w:highlight w:val="none"/>
                <w:u w:val="none"/>
                <w:lang w:val="en-US" w:eastAsia="zh-CN" w:bidi="ar"/>
              </w:rPr>
            </w:pPr>
          </w:p>
        </w:tc>
      </w:tr>
    </w:tbl>
    <w:p>
      <w:pPr>
        <w:keepNext w:val="0"/>
        <w:keepLines w:val="0"/>
        <w:pageBreakBefore w:val="0"/>
        <w:widowControl w:val="0"/>
        <w:kinsoku/>
        <w:wordWrap/>
        <w:overflowPunct/>
        <w:topLinePunct w:val="0"/>
        <w:bidi w:val="0"/>
        <w:adjustRightInd w:val="0"/>
        <w:snapToGrid w:val="0"/>
        <w:spacing w:line="360" w:lineRule="auto"/>
        <w:ind w:firstLine="720" w:firstLineChars="300"/>
        <w:textAlignment w:val="auto"/>
        <w:outlineLvl w:val="0"/>
        <w:rPr>
          <w:rFonts w:ascii="宋体" w:hAnsi="宋体" w:eastAsia="宋体"/>
          <w:color w:val="auto"/>
          <w:kern w:val="0"/>
          <w:sz w:val="24"/>
          <w:szCs w:val="22"/>
          <w:highlight w:val="none"/>
        </w:rPr>
      </w:pPr>
      <w:r>
        <w:rPr>
          <w:rFonts w:hint="eastAsia" w:ascii="宋体" w:hAnsi="宋体" w:eastAsia="宋体"/>
          <w:color w:val="auto"/>
          <w:kern w:val="0"/>
          <w:sz w:val="24"/>
          <w:szCs w:val="22"/>
          <w:highlight w:val="none"/>
        </w:rPr>
        <w:t>七、评审日期：</w:t>
      </w:r>
      <w:r>
        <w:rPr>
          <w:rFonts w:hint="eastAsia" w:ascii="宋体" w:hAnsi="宋体" w:eastAsia="宋体"/>
          <w:color w:val="auto"/>
          <w:kern w:val="0"/>
          <w:sz w:val="24"/>
          <w:szCs w:val="22"/>
          <w:highlight w:val="none"/>
          <w:u w:val="single"/>
          <w:lang w:eastAsia="zh-CN"/>
        </w:rPr>
        <w:t>2020年</w:t>
      </w:r>
      <w:r>
        <w:rPr>
          <w:rFonts w:hint="eastAsia" w:ascii="宋体" w:hAnsi="宋体" w:eastAsia="宋体"/>
          <w:color w:val="auto"/>
          <w:kern w:val="0"/>
          <w:sz w:val="24"/>
          <w:szCs w:val="22"/>
          <w:highlight w:val="none"/>
          <w:u w:val="single"/>
          <w:lang w:val="en-US" w:eastAsia="zh-CN"/>
        </w:rPr>
        <w:t>6</w:t>
      </w:r>
      <w:r>
        <w:rPr>
          <w:rFonts w:hint="eastAsia" w:ascii="宋体" w:hAnsi="宋体" w:eastAsia="宋体"/>
          <w:color w:val="auto"/>
          <w:kern w:val="0"/>
          <w:sz w:val="24"/>
          <w:szCs w:val="22"/>
          <w:highlight w:val="none"/>
          <w:u w:val="single"/>
          <w:lang w:eastAsia="zh-CN"/>
        </w:rPr>
        <w:t>月</w:t>
      </w:r>
      <w:r>
        <w:rPr>
          <w:rFonts w:hint="eastAsia" w:ascii="宋体" w:hAnsi="宋体" w:eastAsia="宋体"/>
          <w:color w:val="auto"/>
          <w:kern w:val="0"/>
          <w:sz w:val="24"/>
          <w:szCs w:val="22"/>
          <w:highlight w:val="none"/>
          <w:u w:val="single"/>
          <w:lang w:val="en-US" w:eastAsia="zh-CN"/>
        </w:rPr>
        <w:t>19</w:t>
      </w:r>
      <w:r>
        <w:rPr>
          <w:rFonts w:hint="eastAsia" w:ascii="宋体" w:hAnsi="宋体" w:eastAsia="宋体"/>
          <w:color w:val="auto"/>
          <w:kern w:val="0"/>
          <w:sz w:val="24"/>
          <w:szCs w:val="22"/>
          <w:highlight w:val="none"/>
          <w:u w:val="single"/>
          <w:lang w:eastAsia="zh-CN"/>
        </w:rPr>
        <w:t>日</w:t>
      </w:r>
      <w:r>
        <w:rPr>
          <w:rFonts w:hint="eastAsia" w:ascii="宋体" w:hAnsi="宋体" w:eastAsia="宋体"/>
          <w:color w:val="auto"/>
          <w:kern w:val="0"/>
          <w:sz w:val="24"/>
          <w:szCs w:val="22"/>
          <w:highlight w:val="none"/>
        </w:rPr>
        <w:t>；评审地点：</w:t>
      </w:r>
      <w:r>
        <w:rPr>
          <w:rFonts w:hint="eastAsia" w:ascii="宋体" w:hAnsi="宋体" w:eastAsia="宋体"/>
          <w:color w:val="auto"/>
          <w:kern w:val="0"/>
          <w:sz w:val="24"/>
          <w:szCs w:val="22"/>
          <w:highlight w:val="none"/>
          <w:u w:val="single"/>
        </w:rPr>
        <w:t>广州市天河区珠江新城华强路9号保利克洛维中盈大厦24楼2402室</w:t>
      </w:r>
      <w:r>
        <w:rPr>
          <w:rFonts w:hint="eastAsia" w:ascii="宋体" w:hAnsi="宋体" w:eastAsia="宋体"/>
          <w:color w:val="auto"/>
          <w:kern w:val="0"/>
          <w:sz w:val="24"/>
          <w:szCs w:val="22"/>
          <w:highlight w:val="none"/>
          <w:u w:val="single"/>
          <w:lang w:eastAsia="zh-CN"/>
        </w:rPr>
        <w:t>评</w:t>
      </w:r>
      <w:r>
        <w:rPr>
          <w:rFonts w:hint="eastAsia" w:ascii="宋体" w:hAnsi="宋体" w:eastAsia="宋体"/>
          <w:color w:val="auto"/>
          <w:kern w:val="0"/>
          <w:sz w:val="24"/>
          <w:szCs w:val="22"/>
          <w:highlight w:val="none"/>
          <w:u w:val="single"/>
        </w:rPr>
        <w:t>标室</w:t>
      </w:r>
      <w:r>
        <w:rPr>
          <w:rFonts w:ascii="宋体" w:hAnsi="宋体" w:eastAsia="宋体"/>
          <w:color w:val="auto"/>
          <w:kern w:val="0"/>
          <w:sz w:val="24"/>
          <w:szCs w:val="22"/>
          <w:highlight w:val="none"/>
        </w:rPr>
        <w:t xml:space="preserve">    </w:t>
      </w:r>
    </w:p>
    <w:p>
      <w:pPr>
        <w:keepNext w:val="0"/>
        <w:keepLines w:val="0"/>
        <w:pageBreakBefore w:val="0"/>
        <w:widowControl w:val="0"/>
        <w:kinsoku/>
        <w:wordWrap/>
        <w:overflowPunct/>
        <w:topLinePunct w:val="0"/>
        <w:bidi w:val="0"/>
        <w:adjustRightInd w:val="0"/>
        <w:snapToGrid w:val="0"/>
        <w:spacing w:line="360" w:lineRule="auto"/>
        <w:ind w:left="480" w:hanging="480" w:hangingChars="200"/>
        <w:textAlignment w:val="auto"/>
        <w:rPr>
          <w:rFonts w:ascii="宋体" w:hAnsi="宋体" w:eastAsia="宋体"/>
          <w:color w:val="auto"/>
          <w:kern w:val="0"/>
          <w:sz w:val="24"/>
          <w:szCs w:val="22"/>
          <w:highlight w:val="none"/>
        </w:rPr>
      </w:pPr>
      <w:r>
        <w:rPr>
          <w:rFonts w:ascii="宋体" w:hAnsi="宋体" w:eastAsia="宋体"/>
          <w:color w:val="auto"/>
          <w:kern w:val="0"/>
          <w:sz w:val="24"/>
          <w:szCs w:val="22"/>
          <w:highlight w:val="none"/>
        </w:rPr>
        <w:t xml:space="preserve">        </w:t>
      </w:r>
      <w:r>
        <w:rPr>
          <w:rFonts w:hint="eastAsia" w:ascii="宋体" w:hAnsi="宋体" w:eastAsia="宋体"/>
          <w:color w:val="auto"/>
          <w:kern w:val="0"/>
          <w:sz w:val="24"/>
          <w:szCs w:val="22"/>
          <w:highlight w:val="none"/>
        </w:rPr>
        <w:t>评审委员会（谈判小组、询价小组、磋商小组或单一来源采购小组）：</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0"/>
        <w:rPr>
          <w:rFonts w:hint="eastAsia" w:ascii="宋体" w:hAnsi="宋体" w:eastAsia="宋体"/>
          <w:color w:val="auto"/>
          <w:kern w:val="0"/>
          <w:sz w:val="24"/>
          <w:szCs w:val="22"/>
          <w:highlight w:val="none"/>
          <w:lang w:eastAsia="zh-CN"/>
        </w:rPr>
      </w:pPr>
      <w:r>
        <w:rPr>
          <w:rFonts w:hint="eastAsia" w:ascii="宋体" w:hAnsi="宋体" w:eastAsia="宋体"/>
          <w:color w:val="auto"/>
          <w:kern w:val="0"/>
          <w:sz w:val="24"/>
          <w:szCs w:val="22"/>
          <w:highlight w:val="none"/>
        </w:rPr>
        <w:t>负责人：</w:t>
      </w:r>
      <w:r>
        <w:rPr>
          <w:rFonts w:hint="eastAsia" w:ascii="宋体" w:hAnsi="宋体" w:eastAsia="宋体"/>
          <w:color w:val="auto"/>
          <w:kern w:val="0"/>
          <w:sz w:val="24"/>
          <w:szCs w:val="22"/>
          <w:highlight w:val="none"/>
          <w:lang w:eastAsia="zh-CN"/>
        </w:rPr>
        <w:t>陈海兵</w:t>
      </w:r>
      <w:r>
        <w:rPr>
          <w:rFonts w:hint="eastAsia" w:ascii="宋体" w:hAnsi="宋体" w:eastAsia="宋体"/>
          <w:color w:val="auto"/>
          <w:kern w:val="0"/>
          <w:sz w:val="24"/>
          <w:szCs w:val="22"/>
          <w:highlight w:val="none"/>
        </w:rPr>
        <w:t>；成员：</w:t>
      </w:r>
      <w:r>
        <w:rPr>
          <w:rFonts w:hint="eastAsia" w:ascii="宋体" w:hAnsi="宋体" w:eastAsia="宋体"/>
          <w:color w:val="auto"/>
          <w:kern w:val="0"/>
          <w:sz w:val="24"/>
          <w:szCs w:val="22"/>
          <w:highlight w:val="none"/>
          <w:lang w:eastAsia="zh-CN"/>
        </w:rPr>
        <w:t>吴东醒、林健、杨章印、陈春生。</w:t>
      </w:r>
    </w:p>
    <w:p>
      <w:pPr>
        <w:pStyle w:val="2"/>
        <w:keepNext w:val="0"/>
        <w:keepLines w:val="0"/>
        <w:pageBreakBefore w:val="0"/>
        <w:widowControl w:val="0"/>
        <w:kinsoku/>
        <w:wordWrap/>
        <w:overflowPunct/>
        <w:topLinePunct w:val="0"/>
        <w:bidi w:val="0"/>
        <w:adjustRightInd w:val="0"/>
        <w:snapToGrid w:val="0"/>
        <w:spacing w:line="360" w:lineRule="auto"/>
        <w:ind w:firstLine="720" w:firstLineChars="300"/>
        <w:textAlignment w:val="auto"/>
        <w:rPr>
          <w:rFonts w:hint="eastAsia" w:ascii="宋体" w:hAnsi="宋体" w:eastAsia="宋体" w:cs="Times New Roman"/>
          <w:color w:val="auto"/>
          <w:kern w:val="0"/>
          <w:sz w:val="24"/>
          <w:szCs w:val="22"/>
          <w:highlight w:val="none"/>
          <w:lang w:val="en-US" w:eastAsia="zh-CN" w:bidi="ar-SA"/>
        </w:rPr>
      </w:pPr>
      <w:r>
        <w:rPr>
          <w:rFonts w:hint="eastAsia" w:ascii="宋体" w:hAnsi="宋体" w:eastAsia="宋体" w:cs="Times New Roman"/>
          <w:color w:val="auto"/>
          <w:kern w:val="0"/>
          <w:sz w:val="24"/>
          <w:szCs w:val="22"/>
          <w:highlight w:val="none"/>
          <w:lang w:val="en-US" w:eastAsia="zh-CN" w:bidi="ar-SA"/>
        </w:rPr>
        <w:t>八、评审意见（非标采购方式或公开招标采购方式采用书面推荐供应商参加采购活动的，还应当公告采购人和评审专家的推荐意见）</w:t>
      </w:r>
    </w:p>
    <w:tbl>
      <w:tblPr>
        <w:tblStyle w:val="22"/>
        <w:tblW w:w="0" w:type="auto"/>
        <w:tblInd w:w="0" w:type="dxa"/>
        <w:shd w:val="clear" w:color="auto" w:fill="auto"/>
        <w:tblLayout w:type="autofit"/>
        <w:tblCellMar>
          <w:top w:w="0" w:type="dxa"/>
          <w:left w:w="0" w:type="dxa"/>
          <w:bottom w:w="0" w:type="dxa"/>
          <w:right w:w="0" w:type="dxa"/>
        </w:tblCellMar>
      </w:tblPr>
      <w:tblGrid>
        <w:gridCol w:w="407"/>
        <w:gridCol w:w="2295"/>
        <w:gridCol w:w="1882"/>
        <w:gridCol w:w="836"/>
        <w:gridCol w:w="836"/>
        <w:gridCol w:w="836"/>
        <w:gridCol w:w="836"/>
        <w:gridCol w:w="408"/>
      </w:tblGrid>
      <w:tr>
        <w:tblPrEx>
          <w:shd w:val="clear" w:color="auto" w:fill="auto"/>
          <w:tblCellMar>
            <w:top w:w="0" w:type="dxa"/>
            <w:left w:w="0" w:type="dxa"/>
            <w:bottom w:w="0" w:type="dxa"/>
            <w:right w:w="0" w:type="dxa"/>
          </w:tblCellMar>
        </w:tblPrEx>
        <w:trPr>
          <w:trHeight w:val="820" w:hRule="atLeast"/>
        </w:trPr>
        <w:tc>
          <w:tcPr>
            <w:tcW w:w="0" w:type="auto"/>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包组1:医疗类45°角光纤高速手机</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投标单位（投标人）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投标总价（人民币）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价格得分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商务得分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排名</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广州远东医疗科技有限公司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￥436,878.00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广州汉瑞祥和茂医疗器械有限公司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￥530,400.00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24.71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50.80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83.51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广州市粤军辉贸易有限公司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广州特浩商贸有限公司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￥507,000.00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25.85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35.80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62.65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820" w:hRule="atLeast"/>
        </w:trPr>
        <w:tc>
          <w:tcPr>
            <w:tcW w:w="0" w:type="auto"/>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包组3:医疗类牙科镍钛根备手机</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投标单位（投标人）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投标总价（人民币）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价格得分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商务得分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排名</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广州市诚屹进出口有限公司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￥230,670.00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48.40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80.40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广州南鑫康诚贸易有限公司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￥231,000.00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29.96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37.20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69.16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广州瑞元医疗科技有限公司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￥230,868.00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29.97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34.40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65.37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20" w:hRule="atLeast"/>
        </w:trPr>
        <w:tc>
          <w:tcPr>
            <w:tcW w:w="0" w:type="auto"/>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包组4:医疗类高级标准型光纤高速手机</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投标单位（投标人）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投标总价（人民币）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价格得分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商务得分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排名</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广州市银星医疗器材有限公司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￥539,240.00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27.84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91.44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广州汉瑞祥和茂医疗器械有限公司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￥505,920.00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29.68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47.80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85.48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深圳市德源牙科设备技术有限公司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￥500,480.00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79.60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20" w:hRule="atLeast"/>
        </w:trPr>
        <w:tc>
          <w:tcPr>
            <w:tcW w:w="0" w:type="auto"/>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包组5:医疗类高级标准型高速手机</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投标单位（投标人）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投标总价（人民币）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价格得分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商务得分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排名</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广州市银星医疗器材有限公司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29.27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50.20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89.47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广州汉瑞祥和茂医疗器械有限公司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29.76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48.60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86.36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深圳市德源牙科设备技术有限公司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28.62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52.80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84.42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广东华贸药业有限公司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￥89,280.00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68.60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r>
    </w:tbl>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kern w:val="0"/>
          <w:sz w:val="24"/>
          <w:szCs w:val="22"/>
          <w:highlight w:val="none"/>
        </w:rPr>
      </w:pPr>
      <w:r>
        <w:rPr>
          <w:rFonts w:hint="eastAsia" w:ascii="宋体" w:hAnsi="宋体" w:eastAsia="宋体"/>
          <w:color w:val="auto"/>
          <w:kern w:val="0"/>
          <w:sz w:val="24"/>
          <w:szCs w:val="22"/>
          <w:highlight w:val="none"/>
        </w:rPr>
        <w:t>九、本公告期限</w:t>
      </w:r>
      <w:r>
        <w:rPr>
          <w:rFonts w:ascii="宋体" w:hAnsi="宋体" w:eastAsia="宋体"/>
          <w:color w:val="auto"/>
          <w:kern w:val="0"/>
          <w:sz w:val="24"/>
          <w:szCs w:val="22"/>
          <w:highlight w:val="none"/>
        </w:rPr>
        <w:t>1</w:t>
      </w:r>
      <w:r>
        <w:rPr>
          <w:rFonts w:hint="eastAsia" w:ascii="宋体" w:hAnsi="宋体" w:eastAsia="宋体"/>
          <w:color w:val="auto"/>
          <w:kern w:val="0"/>
          <w:sz w:val="24"/>
          <w:szCs w:val="22"/>
          <w:highlight w:val="none"/>
        </w:rPr>
        <w:t>个工作日。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kern w:val="0"/>
          <w:sz w:val="24"/>
          <w:szCs w:val="22"/>
          <w:highlight w:val="none"/>
        </w:rPr>
      </w:pPr>
      <w:r>
        <w:rPr>
          <w:rFonts w:hint="eastAsia" w:ascii="宋体" w:hAnsi="宋体" w:eastAsia="宋体"/>
          <w:color w:val="auto"/>
          <w:kern w:val="0"/>
          <w:sz w:val="24"/>
          <w:szCs w:val="22"/>
          <w:highlight w:val="none"/>
        </w:rPr>
        <w:t>十、联系事项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kern w:val="0"/>
          <w:sz w:val="24"/>
          <w:szCs w:val="22"/>
          <w:highlight w:val="none"/>
          <w:lang w:val="en-US" w:eastAsia="zh-CN"/>
        </w:rPr>
      </w:pPr>
      <w:r>
        <w:rPr>
          <w:rFonts w:hint="eastAsia" w:ascii="宋体" w:hAnsi="宋体" w:eastAsia="宋体"/>
          <w:color w:val="auto"/>
          <w:kern w:val="0"/>
          <w:sz w:val="24"/>
          <w:szCs w:val="22"/>
          <w:highlight w:val="none"/>
        </w:rPr>
        <w:t>采购代理机构联系人：</w:t>
      </w:r>
      <w:r>
        <w:rPr>
          <w:rFonts w:hint="eastAsia" w:ascii="宋体" w:hAnsi="宋体" w:eastAsia="宋体"/>
          <w:color w:val="auto"/>
          <w:kern w:val="0"/>
          <w:sz w:val="24"/>
          <w:szCs w:val="22"/>
          <w:highlight w:val="none"/>
          <w:u w:val="single"/>
          <w:lang w:eastAsia="zh-CN"/>
        </w:rPr>
        <w:t>林</w:t>
      </w:r>
      <w:r>
        <w:rPr>
          <w:rFonts w:hint="eastAsia" w:ascii="宋体" w:hAnsi="宋体" w:eastAsia="宋体"/>
          <w:color w:val="auto"/>
          <w:kern w:val="0"/>
          <w:sz w:val="24"/>
          <w:szCs w:val="22"/>
          <w:highlight w:val="none"/>
          <w:u w:val="single"/>
        </w:rPr>
        <w:t>小姐</w:t>
      </w:r>
      <w:r>
        <w:rPr>
          <w:rFonts w:hint="eastAsia" w:ascii="宋体" w:hAnsi="宋体" w:eastAsia="宋体"/>
          <w:color w:val="auto"/>
          <w:kern w:val="0"/>
          <w:sz w:val="24"/>
          <w:szCs w:val="22"/>
          <w:highlight w:val="none"/>
        </w:rPr>
        <w:t>；</w:t>
      </w:r>
      <w:r>
        <w:rPr>
          <w:rFonts w:ascii="宋体" w:hAnsi="宋体" w:eastAsia="宋体"/>
          <w:color w:val="auto"/>
          <w:kern w:val="0"/>
          <w:sz w:val="24"/>
          <w:szCs w:val="22"/>
          <w:highlight w:val="none"/>
        </w:rPr>
        <w:t xml:space="preserve"> </w:t>
      </w:r>
      <w:r>
        <w:rPr>
          <w:rFonts w:hint="eastAsia" w:ascii="宋体" w:hAnsi="宋体" w:eastAsia="宋体"/>
          <w:color w:val="auto"/>
          <w:kern w:val="0"/>
          <w:sz w:val="24"/>
          <w:szCs w:val="22"/>
          <w:highlight w:val="none"/>
        </w:rPr>
        <w:t>联系电话：</w:t>
      </w:r>
      <w:r>
        <w:rPr>
          <w:rFonts w:hint="eastAsia" w:ascii="宋体" w:hAnsi="宋体" w:eastAsia="宋体"/>
          <w:color w:val="auto"/>
          <w:kern w:val="0"/>
          <w:sz w:val="24"/>
          <w:szCs w:val="22"/>
          <w:highlight w:val="none"/>
          <w:u w:val="single"/>
        </w:rPr>
        <w:t>020-8520040</w:t>
      </w:r>
      <w:r>
        <w:rPr>
          <w:rFonts w:hint="eastAsia" w:ascii="宋体" w:hAnsi="宋体" w:eastAsia="宋体"/>
          <w:color w:val="auto"/>
          <w:kern w:val="0"/>
          <w:sz w:val="24"/>
          <w:szCs w:val="22"/>
          <w:highlight w:val="none"/>
          <w:u w:val="single"/>
          <w:lang w:val="en-US" w:eastAsia="zh-CN"/>
        </w:rPr>
        <w:t>2</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kern w:val="0"/>
          <w:sz w:val="22"/>
          <w:szCs w:val="22"/>
        </w:rPr>
      </w:pPr>
      <w:r>
        <w:rPr>
          <w:rFonts w:hint="eastAsia" w:ascii="宋体" w:hAnsi="宋体" w:eastAsia="宋体"/>
          <w:color w:val="auto"/>
          <w:kern w:val="0"/>
          <w:sz w:val="24"/>
          <w:szCs w:val="22"/>
          <w:highlight w:val="none"/>
        </w:rPr>
        <w:t>各有关当事人对中标、</w:t>
      </w:r>
      <w:r>
        <w:rPr>
          <w:rFonts w:hint="eastAsia" w:ascii="宋体" w:hAnsi="宋体" w:eastAsia="宋体"/>
          <w:color w:val="auto"/>
          <w:kern w:val="0"/>
          <w:sz w:val="24"/>
          <w:szCs w:val="22"/>
          <w:highlight w:val="none"/>
          <w:lang w:eastAsia="zh-CN"/>
        </w:rPr>
        <w:t>中标</w:t>
      </w:r>
      <w:r>
        <w:rPr>
          <w:rFonts w:hint="eastAsia" w:ascii="宋体" w:hAnsi="宋体" w:eastAsia="宋体"/>
          <w:color w:val="auto"/>
          <w:kern w:val="0"/>
          <w:sz w:val="24"/>
          <w:szCs w:val="22"/>
          <w:highlight w:val="none"/>
        </w:rPr>
        <w:t>结果有异议的，可以在中标、</w:t>
      </w:r>
      <w:r>
        <w:rPr>
          <w:rFonts w:hint="eastAsia" w:ascii="宋体" w:hAnsi="宋体" w:eastAsia="宋体"/>
          <w:color w:val="auto"/>
          <w:kern w:val="0"/>
          <w:sz w:val="24"/>
          <w:szCs w:val="22"/>
          <w:highlight w:val="none"/>
          <w:lang w:eastAsia="zh-CN"/>
        </w:rPr>
        <w:t>中标</w:t>
      </w:r>
      <w:r>
        <w:rPr>
          <w:rFonts w:hint="eastAsia" w:ascii="宋体" w:hAnsi="宋体" w:eastAsia="宋体"/>
          <w:color w:val="auto"/>
          <w:kern w:val="0"/>
          <w:sz w:val="24"/>
          <w:szCs w:val="22"/>
          <w:highlight w:val="none"/>
        </w:rPr>
        <w:t>公告发布之日起</w:t>
      </w:r>
      <w:r>
        <w:rPr>
          <w:rFonts w:ascii="宋体" w:hAnsi="宋体" w:eastAsia="宋体"/>
          <w:color w:val="auto"/>
          <w:kern w:val="0"/>
          <w:sz w:val="24"/>
          <w:szCs w:val="22"/>
          <w:highlight w:val="none"/>
        </w:rPr>
        <w:t>7</w:t>
      </w:r>
      <w:r>
        <w:rPr>
          <w:rFonts w:hint="eastAsia" w:ascii="宋体" w:hAnsi="宋体" w:eastAsia="宋体"/>
          <w:color w:val="auto"/>
          <w:kern w:val="0"/>
          <w:sz w:val="24"/>
          <w:szCs w:val="22"/>
          <w:highlight w:val="none"/>
        </w:rPr>
        <w:t>个工作日内以书面形式向（政府采购代理机构）（或采购人）提出质疑，逾期将依法不予受理。</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kern w:val="0"/>
          <w:sz w:val="22"/>
          <w:szCs w:val="22"/>
        </w:rPr>
      </w:pPr>
    </w:p>
    <w:p>
      <w:pPr>
        <w:keepNext w:val="0"/>
        <w:keepLines w:val="0"/>
        <w:pageBreakBefore w:val="0"/>
        <w:widowControl/>
        <w:kinsoku/>
        <w:wordWrap/>
        <w:overflowPunct/>
        <w:topLinePunct w:val="0"/>
        <w:autoSpaceDE/>
        <w:autoSpaceDN/>
        <w:bidi w:val="0"/>
        <w:spacing w:line="360" w:lineRule="auto"/>
        <w:ind w:right="84" w:firstLine="3119"/>
        <w:jc w:val="right"/>
        <w:textAlignment w:val="auto"/>
        <w:rPr>
          <w:rFonts w:ascii="宋体" w:hAnsi="宋体" w:eastAsia="宋体"/>
          <w:color w:val="auto"/>
          <w:kern w:val="0"/>
          <w:sz w:val="24"/>
          <w:szCs w:val="22"/>
          <w:highlight w:val="yellow"/>
        </w:rPr>
      </w:pPr>
      <w:r>
        <w:rPr>
          <w:rFonts w:hint="eastAsia" w:ascii="宋体" w:hAnsi="宋体" w:eastAsia="宋体"/>
          <w:color w:val="auto"/>
          <w:kern w:val="0"/>
          <w:sz w:val="24"/>
          <w:szCs w:val="22"/>
          <w:highlight w:val="yellow"/>
        </w:rPr>
        <w:t>发布人：广东</w:t>
      </w:r>
      <w:r>
        <w:rPr>
          <w:rFonts w:hint="eastAsia" w:ascii="宋体" w:hAnsi="宋体" w:eastAsia="宋体"/>
          <w:color w:val="auto"/>
          <w:kern w:val="0"/>
          <w:sz w:val="24"/>
          <w:szCs w:val="22"/>
          <w:highlight w:val="yellow"/>
          <w:lang w:eastAsia="zh-CN"/>
        </w:rPr>
        <w:t>国利</w:t>
      </w:r>
      <w:r>
        <w:rPr>
          <w:rFonts w:hint="eastAsia" w:ascii="宋体" w:hAnsi="宋体" w:eastAsia="宋体"/>
          <w:color w:val="auto"/>
          <w:kern w:val="0"/>
          <w:sz w:val="24"/>
          <w:szCs w:val="22"/>
          <w:highlight w:val="yellow"/>
        </w:rPr>
        <w:t>招标代理有限公司</w:t>
      </w:r>
    </w:p>
    <w:p>
      <w:pPr>
        <w:keepNext w:val="0"/>
        <w:keepLines w:val="0"/>
        <w:pageBreakBefore w:val="0"/>
        <w:kinsoku/>
        <w:wordWrap/>
        <w:overflowPunct/>
        <w:topLinePunct w:val="0"/>
        <w:autoSpaceDE/>
        <w:autoSpaceDN/>
        <w:bidi w:val="0"/>
        <w:adjustRightInd w:val="0"/>
        <w:snapToGrid w:val="0"/>
        <w:spacing w:line="360" w:lineRule="auto"/>
        <w:ind w:left="8109" w:leftChars="1125" w:hanging="4509" w:hangingChars="1879"/>
        <w:textAlignment w:val="auto"/>
        <w:rPr>
          <w:rFonts w:ascii="宋体" w:hAnsi="宋体" w:eastAsia="宋体"/>
          <w:color w:val="auto"/>
        </w:rPr>
      </w:pPr>
      <w:r>
        <w:rPr>
          <w:rFonts w:ascii="宋体" w:hAnsi="宋体" w:eastAsia="宋体"/>
          <w:color w:val="auto"/>
          <w:kern w:val="0"/>
          <w:sz w:val="24"/>
          <w:szCs w:val="22"/>
          <w:highlight w:val="yellow"/>
        </w:rPr>
        <w:t xml:space="preserve">   </w:t>
      </w:r>
      <w:r>
        <w:rPr>
          <w:rFonts w:hint="eastAsia" w:ascii="宋体" w:hAnsi="宋体" w:eastAsia="宋体"/>
          <w:color w:val="auto"/>
          <w:kern w:val="0"/>
          <w:sz w:val="24"/>
          <w:szCs w:val="22"/>
          <w:highlight w:val="yellow"/>
          <w:lang w:val="en-US" w:eastAsia="zh-CN"/>
        </w:rPr>
        <w:t xml:space="preserve">        </w:t>
      </w:r>
      <w:r>
        <w:rPr>
          <w:rFonts w:hint="eastAsia" w:ascii="宋体" w:hAnsi="宋体" w:eastAsia="宋体"/>
          <w:color w:val="auto"/>
          <w:kern w:val="0"/>
          <w:sz w:val="24"/>
          <w:szCs w:val="22"/>
          <w:highlight w:val="yellow"/>
        </w:rPr>
        <w:t>发布时间：</w:t>
      </w:r>
      <w:r>
        <w:rPr>
          <w:rFonts w:ascii="宋体" w:hAnsi="宋体" w:eastAsia="宋体"/>
          <w:color w:val="auto"/>
          <w:kern w:val="0"/>
          <w:sz w:val="24"/>
          <w:szCs w:val="22"/>
          <w:highlight w:val="yellow"/>
        </w:rPr>
        <w:t>20</w:t>
      </w:r>
      <w:r>
        <w:rPr>
          <w:rFonts w:hint="eastAsia" w:ascii="宋体" w:hAnsi="宋体" w:eastAsia="宋体"/>
          <w:color w:val="auto"/>
          <w:kern w:val="0"/>
          <w:sz w:val="24"/>
          <w:szCs w:val="22"/>
          <w:highlight w:val="yellow"/>
          <w:lang w:val="en-US" w:eastAsia="zh-CN"/>
        </w:rPr>
        <w:t>20</w:t>
      </w:r>
      <w:r>
        <w:rPr>
          <w:rFonts w:hint="eastAsia" w:ascii="宋体" w:hAnsi="宋体" w:eastAsia="宋体"/>
          <w:color w:val="auto"/>
          <w:kern w:val="0"/>
          <w:sz w:val="24"/>
          <w:szCs w:val="22"/>
          <w:highlight w:val="yellow"/>
        </w:rPr>
        <w:t>年</w:t>
      </w:r>
      <w:r>
        <w:rPr>
          <w:rFonts w:hint="eastAsia" w:ascii="宋体" w:hAnsi="宋体" w:eastAsia="宋体"/>
          <w:color w:val="auto"/>
          <w:kern w:val="0"/>
          <w:sz w:val="24"/>
          <w:szCs w:val="22"/>
          <w:highlight w:val="yellow"/>
          <w:lang w:val="en-US" w:eastAsia="zh-CN"/>
        </w:rPr>
        <w:t>6</w:t>
      </w:r>
      <w:bookmarkStart w:id="0" w:name="_GoBack"/>
      <w:bookmarkEnd w:id="0"/>
      <w:r>
        <w:rPr>
          <w:rFonts w:hint="eastAsia" w:ascii="宋体" w:hAnsi="宋体" w:eastAsia="宋体"/>
          <w:color w:val="auto"/>
          <w:kern w:val="0"/>
          <w:sz w:val="24"/>
          <w:szCs w:val="22"/>
          <w:highlight w:val="yellow"/>
          <w:lang w:val="en-US" w:eastAsia="zh-CN"/>
        </w:rPr>
        <w:t xml:space="preserve">月23日  </w:t>
      </w:r>
      <w:r>
        <w:rPr>
          <w:rFonts w:hint="eastAsia" w:ascii="宋体" w:hAnsi="宋体" w:eastAsia="宋体"/>
          <w:color w:val="auto"/>
          <w:kern w:val="0"/>
          <w:sz w:val="24"/>
          <w:szCs w:val="22"/>
          <w:lang w:val="en-US" w:eastAsia="zh-CN"/>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03440"/>
    <w:multiLevelType w:val="singleLevel"/>
    <w:tmpl w:val="80203440"/>
    <w:lvl w:ilvl="0" w:tentative="0">
      <w:start w:val="6"/>
      <w:numFmt w:val="chineseCounting"/>
      <w:suff w:val="nothing"/>
      <w:lvlText w:val="%1、"/>
      <w:lvlJc w:val="left"/>
      <w:rPr>
        <w:rFonts w:hint="eastAsia"/>
      </w:rPr>
    </w:lvl>
  </w:abstractNum>
  <w:abstractNum w:abstractNumId="1">
    <w:nsid w:val="5976080A"/>
    <w:multiLevelType w:val="singleLevel"/>
    <w:tmpl w:val="5976080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03"/>
    <w:rsid w:val="0001294D"/>
    <w:rsid w:val="000178CF"/>
    <w:rsid w:val="0002388E"/>
    <w:rsid w:val="00037838"/>
    <w:rsid w:val="00042276"/>
    <w:rsid w:val="000438E1"/>
    <w:rsid w:val="0005703C"/>
    <w:rsid w:val="0006317F"/>
    <w:rsid w:val="00065A42"/>
    <w:rsid w:val="00066B6D"/>
    <w:rsid w:val="00074E0E"/>
    <w:rsid w:val="00077A42"/>
    <w:rsid w:val="00080E70"/>
    <w:rsid w:val="000B2EBF"/>
    <w:rsid w:val="000C0996"/>
    <w:rsid w:val="000D3A74"/>
    <w:rsid w:val="000F5644"/>
    <w:rsid w:val="00104A5D"/>
    <w:rsid w:val="0010526A"/>
    <w:rsid w:val="00112335"/>
    <w:rsid w:val="00122D65"/>
    <w:rsid w:val="00126003"/>
    <w:rsid w:val="00140F2B"/>
    <w:rsid w:val="001451C9"/>
    <w:rsid w:val="00156CBC"/>
    <w:rsid w:val="00171219"/>
    <w:rsid w:val="00191D3F"/>
    <w:rsid w:val="001A4EB6"/>
    <w:rsid w:val="001B261D"/>
    <w:rsid w:val="001C3BFB"/>
    <w:rsid w:val="0020049C"/>
    <w:rsid w:val="00204B08"/>
    <w:rsid w:val="00220368"/>
    <w:rsid w:val="00235F3F"/>
    <w:rsid w:val="002574CD"/>
    <w:rsid w:val="00267AED"/>
    <w:rsid w:val="002717F8"/>
    <w:rsid w:val="0027551A"/>
    <w:rsid w:val="002923F7"/>
    <w:rsid w:val="002A39ED"/>
    <w:rsid w:val="002A7F64"/>
    <w:rsid w:val="002B4B0C"/>
    <w:rsid w:val="002C7660"/>
    <w:rsid w:val="002E14D0"/>
    <w:rsid w:val="002E3388"/>
    <w:rsid w:val="00304393"/>
    <w:rsid w:val="003145C1"/>
    <w:rsid w:val="00320859"/>
    <w:rsid w:val="0032233A"/>
    <w:rsid w:val="003524D9"/>
    <w:rsid w:val="00370403"/>
    <w:rsid w:val="00393A4C"/>
    <w:rsid w:val="003B6660"/>
    <w:rsid w:val="003C379B"/>
    <w:rsid w:val="003D05A9"/>
    <w:rsid w:val="003E0168"/>
    <w:rsid w:val="004074C2"/>
    <w:rsid w:val="0046413D"/>
    <w:rsid w:val="004856C0"/>
    <w:rsid w:val="004954E0"/>
    <w:rsid w:val="004C353F"/>
    <w:rsid w:val="004D26EF"/>
    <w:rsid w:val="005055D8"/>
    <w:rsid w:val="005134C7"/>
    <w:rsid w:val="00587DC8"/>
    <w:rsid w:val="00596028"/>
    <w:rsid w:val="005A5CB1"/>
    <w:rsid w:val="005B4FD8"/>
    <w:rsid w:val="005C5FDD"/>
    <w:rsid w:val="005D3F8E"/>
    <w:rsid w:val="005D679C"/>
    <w:rsid w:val="006060CA"/>
    <w:rsid w:val="006302EC"/>
    <w:rsid w:val="006456DF"/>
    <w:rsid w:val="00673D05"/>
    <w:rsid w:val="006A3C83"/>
    <w:rsid w:val="006A4961"/>
    <w:rsid w:val="006B366D"/>
    <w:rsid w:val="006C4A77"/>
    <w:rsid w:val="006D4D47"/>
    <w:rsid w:val="006F24BA"/>
    <w:rsid w:val="0070031D"/>
    <w:rsid w:val="00700E3B"/>
    <w:rsid w:val="00715000"/>
    <w:rsid w:val="007224DB"/>
    <w:rsid w:val="007330C8"/>
    <w:rsid w:val="00741D04"/>
    <w:rsid w:val="00742E2D"/>
    <w:rsid w:val="00770D67"/>
    <w:rsid w:val="00776368"/>
    <w:rsid w:val="0078727B"/>
    <w:rsid w:val="00790DD3"/>
    <w:rsid w:val="00793CDC"/>
    <w:rsid w:val="007A5785"/>
    <w:rsid w:val="007C23D1"/>
    <w:rsid w:val="0080017A"/>
    <w:rsid w:val="008326BC"/>
    <w:rsid w:val="00833494"/>
    <w:rsid w:val="0083432A"/>
    <w:rsid w:val="008358D7"/>
    <w:rsid w:val="00850BB5"/>
    <w:rsid w:val="008658D4"/>
    <w:rsid w:val="0088411A"/>
    <w:rsid w:val="008913EA"/>
    <w:rsid w:val="008A3BBC"/>
    <w:rsid w:val="009148B9"/>
    <w:rsid w:val="009340FF"/>
    <w:rsid w:val="0094327D"/>
    <w:rsid w:val="009C3993"/>
    <w:rsid w:val="009C6B1B"/>
    <w:rsid w:val="009D36CF"/>
    <w:rsid w:val="00A408C0"/>
    <w:rsid w:val="00A54F53"/>
    <w:rsid w:val="00A56D5D"/>
    <w:rsid w:val="00A723E3"/>
    <w:rsid w:val="00A751E9"/>
    <w:rsid w:val="00A91DC7"/>
    <w:rsid w:val="00AA2612"/>
    <w:rsid w:val="00AC25DB"/>
    <w:rsid w:val="00AE308D"/>
    <w:rsid w:val="00AF626A"/>
    <w:rsid w:val="00B24B23"/>
    <w:rsid w:val="00B44060"/>
    <w:rsid w:val="00B67A48"/>
    <w:rsid w:val="00B86850"/>
    <w:rsid w:val="00B93C33"/>
    <w:rsid w:val="00BD25F9"/>
    <w:rsid w:val="00BE52C4"/>
    <w:rsid w:val="00BF722A"/>
    <w:rsid w:val="00C223C6"/>
    <w:rsid w:val="00C42542"/>
    <w:rsid w:val="00C559F9"/>
    <w:rsid w:val="00C64E8F"/>
    <w:rsid w:val="00C65413"/>
    <w:rsid w:val="00C70CA5"/>
    <w:rsid w:val="00C83615"/>
    <w:rsid w:val="00C96F2D"/>
    <w:rsid w:val="00CB12A4"/>
    <w:rsid w:val="00CD225F"/>
    <w:rsid w:val="00CD2C8A"/>
    <w:rsid w:val="00D11B28"/>
    <w:rsid w:val="00D55447"/>
    <w:rsid w:val="00D6599B"/>
    <w:rsid w:val="00D74116"/>
    <w:rsid w:val="00DA35B9"/>
    <w:rsid w:val="00DA5730"/>
    <w:rsid w:val="00DB0434"/>
    <w:rsid w:val="00DB60E6"/>
    <w:rsid w:val="00DC78C6"/>
    <w:rsid w:val="00DD1A3E"/>
    <w:rsid w:val="00DD25C4"/>
    <w:rsid w:val="00DD5449"/>
    <w:rsid w:val="00DE02EC"/>
    <w:rsid w:val="00DF66AE"/>
    <w:rsid w:val="00E13795"/>
    <w:rsid w:val="00E2767E"/>
    <w:rsid w:val="00E46631"/>
    <w:rsid w:val="00E87960"/>
    <w:rsid w:val="00E91665"/>
    <w:rsid w:val="00EA3881"/>
    <w:rsid w:val="00EF2306"/>
    <w:rsid w:val="00F05E6E"/>
    <w:rsid w:val="00F45F80"/>
    <w:rsid w:val="00F87302"/>
    <w:rsid w:val="00FC6A9F"/>
    <w:rsid w:val="00FC7883"/>
    <w:rsid w:val="00FD4692"/>
    <w:rsid w:val="00FF30C2"/>
    <w:rsid w:val="010258B8"/>
    <w:rsid w:val="057C6F0A"/>
    <w:rsid w:val="05EC2312"/>
    <w:rsid w:val="063466A5"/>
    <w:rsid w:val="0660387D"/>
    <w:rsid w:val="06E26EE8"/>
    <w:rsid w:val="081D66EC"/>
    <w:rsid w:val="08A27FBE"/>
    <w:rsid w:val="0A2D3884"/>
    <w:rsid w:val="0D192D58"/>
    <w:rsid w:val="0E2021D1"/>
    <w:rsid w:val="0EA61216"/>
    <w:rsid w:val="10B125BD"/>
    <w:rsid w:val="10FE574D"/>
    <w:rsid w:val="1326283E"/>
    <w:rsid w:val="136F61C8"/>
    <w:rsid w:val="13CE3B7D"/>
    <w:rsid w:val="15D43C4E"/>
    <w:rsid w:val="179D1245"/>
    <w:rsid w:val="18A17E14"/>
    <w:rsid w:val="19B254AD"/>
    <w:rsid w:val="1F556FA1"/>
    <w:rsid w:val="20D80AF7"/>
    <w:rsid w:val="213B0BC4"/>
    <w:rsid w:val="213B7902"/>
    <w:rsid w:val="22DA379C"/>
    <w:rsid w:val="235F013A"/>
    <w:rsid w:val="25601DF1"/>
    <w:rsid w:val="25786228"/>
    <w:rsid w:val="25E8158E"/>
    <w:rsid w:val="276619E4"/>
    <w:rsid w:val="29804D9F"/>
    <w:rsid w:val="2A32285E"/>
    <w:rsid w:val="2A633F30"/>
    <w:rsid w:val="2D743BBA"/>
    <w:rsid w:val="31A91B64"/>
    <w:rsid w:val="35390FA7"/>
    <w:rsid w:val="353E180D"/>
    <w:rsid w:val="367A2AA0"/>
    <w:rsid w:val="36CC7D67"/>
    <w:rsid w:val="3A12030D"/>
    <w:rsid w:val="3AAD76D6"/>
    <w:rsid w:val="3BE24D23"/>
    <w:rsid w:val="3C8550A2"/>
    <w:rsid w:val="3CCD7477"/>
    <w:rsid w:val="3FC2718C"/>
    <w:rsid w:val="412B05EC"/>
    <w:rsid w:val="45B703F2"/>
    <w:rsid w:val="47BE6CC1"/>
    <w:rsid w:val="48483EAF"/>
    <w:rsid w:val="484D2211"/>
    <w:rsid w:val="48F71942"/>
    <w:rsid w:val="49F43EEE"/>
    <w:rsid w:val="4B0B17D5"/>
    <w:rsid w:val="4CC41C6C"/>
    <w:rsid w:val="4CF90694"/>
    <w:rsid w:val="4D2F48E9"/>
    <w:rsid w:val="4EBB2F2C"/>
    <w:rsid w:val="513A18E0"/>
    <w:rsid w:val="5159523B"/>
    <w:rsid w:val="52293282"/>
    <w:rsid w:val="52A47CDC"/>
    <w:rsid w:val="54A047BF"/>
    <w:rsid w:val="54D04BB4"/>
    <w:rsid w:val="54E22890"/>
    <w:rsid w:val="55576239"/>
    <w:rsid w:val="55A066CE"/>
    <w:rsid w:val="55FA78F3"/>
    <w:rsid w:val="57281A1B"/>
    <w:rsid w:val="59383F62"/>
    <w:rsid w:val="5A340A01"/>
    <w:rsid w:val="5BB01BDF"/>
    <w:rsid w:val="5E6E3BA0"/>
    <w:rsid w:val="5F7A61F8"/>
    <w:rsid w:val="61DF2405"/>
    <w:rsid w:val="621D0F5A"/>
    <w:rsid w:val="6274677F"/>
    <w:rsid w:val="62D91A17"/>
    <w:rsid w:val="62EC65B4"/>
    <w:rsid w:val="6477636B"/>
    <w:rsid w:val="64CB0277"/>
    <w:rsid w:val="64DC6675"/>
    <w:rsid w:val="65020E22"/>
    <w:rsid w:val="67BC08D5"/>
    <w:rsid w:val="67EC39BC"/>
    <w:rsid w:val="687E7EC3"/>
    <w:rsid w:val="68D247DB"/>
    <w:rsid w:val="68E03A7C"/>
    <w:rsid w:val="68E57EDB"/>
    <w:rsid w:val="68F4764A"/>
    <w:rsid w:val="692A3548"/>
    <w:rsid w:val="6A8D3C3E"/>
    <w:rsid w:val="6B9013D4"/>
    <w:rsid w:val="6D52503E"/>
    <w:rsid w:val="6F9C7BCA"/>
    <w:rsid w:val="70BF7153"/>
    <w:rsid w:val="71135113"/>
    <w:rsid w:val="714A7042"/>
    <w:rsid w:val="727C2AB6"/>
    <w:rsid w:val="74CA7621"/>
    <w:rsid w:val="751E4288"/>
    <w:rsid w:val="785A4D9C"/>
    <w:rsid w:val="785F0CC3"/>
    <w:rsid w:val="79A4347C"/>
    <w:rsid w:val="7AC16F99"/>
    <w:rsid w:val="7BA30C3A"/>
    <w:rsid w:val="7C4A0DA6"/>
    <w:rsid w:val="7D6926D7"/>
    <w:rsid w:val="7EE91E4C"/>
    <w:rsid w:val="7EFA0CF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qFormat="1" w:unhideWhenUsed="0" w:uiPriority="99" w:semiHidden="0"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ocked="1"/>
    <w:lsdException w:qFormat="1" w:unhideWhenUsed="0"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7"/>
    <w:qFormat/>
    <w:uiPriority w:val="99"/>
    <w:pPr>
      <w:widowControl/>
      <w:pBdr>
        <w:bottom w:val="single" w:color="365F91" w:sz="12" w:space="1"/>
      </w:pBdr>
      <w:spacing w:before="600" w:after="80"/>
      <w:jc w:val="left"/>
      <w:outlineLvl w:val="0"/>
    </w:pPr>
    <w:rPr>
      <w:rFonts w:ascii="Cambria" w:hAnsi="Cambria" w:eastAsia="宋体"/>
      <w:b/>
      <w:bCs/>
      <w:color w:val="365F91"/>
      <w:kern w:val="0"/>
      <w:sz w:val="24"/>
      <w:lang w:eastAsia="en-US"/>
    </w:rPr>
  </w:style>
  <w:style w:type="paragraph" w:styleId="4">
    <w:name w:val="heading 2"/>
    <w:basedOn w:val="1"/>
    <w:next w:val="1"/>
    <w:link w:val="29"/>
    <w:qFormat/>
    <w:uiPriority w:val="99"/>
    <w:pPr>
      <w:widowControl/>
      <w:pBdr>
        <w:bottom w:val="single" w:color="4F81BD" w:sz="8" w:space="1"/>
      </w:pBdr>
      <w:spacing w:before="200" w:after="80"/>
      <w:jc w:val="left"/>
      <w:outlineLvl w:val="1"/>
    </w:pPr>
    <w:rPr>
      <w:rFonts w:ascii="Cambria" w:hAnsi="Cambria" w:eastAsia="宋体"/>
      <w:color w:val="365F91"/>
      <w:kern w:val="0"/>
      <w:sz w:val="24"/>
      <w:lang w:eastAsia="en-US"/>
    </w:rPr>
  </w:style>
  <w:style w:type="paragraph" w:styleId="5">
    <w:name w:val="heading 3"/>
    <w:basedOn w:val="1"/>
    <w:next w:val="1"/>
    <w:link w:val="30"/>
    <w:qFormat/>
    <w:uiPriority w:val="99"/>
    <w:pPr>
      <w:widowControl/>
      <w:pBdr>
        <w:bottom w:val="single" w:color="95B3D7" w:sz="4" w:space="1"/>
      </w:pBdr>
      <w:spacing w:before="200" w:after="80"/>
      <w:jc w:val="left"/>
      <w:outlineLvl w:val="2"/>
    </w:pPr>
    <w:rPr>
      <w:rFonts w:ascii="Cambria" w:hAnsi="Cambria" w:eastAsia="宋体"/>
      <w:color w:val="4F81BD"/>
      <w:kern w:val="0"/>
      <w:sz w:val="24"/>
      <w:lang w:eastAsia="en-US"/>
    </w:rPr>
  </w:style>
  <w:style w:type="paragraph" w:styleId="6">
    <w:name w:val="heading 4"/>
    <w:basedOn w:val="1"/>
    <w:next w:val="1"/>
    <w:link w:val="31"/>
    <w:qFormat/>
    <w:uiPriority w:val="99"/>
    <w:pPr>
      <w:widowControl/>
      <w:pBdr>
        <w:bottom w:val="single" w:color="B8CCE4" w:sz="4" w:space="2"/>
      </w:pBdr>
      <w:spacing w:before="200" w:after="80"/>
      <w:jc w:val="left"/>
      <w:outlineLvl w:val="3"/>
    </w:pPr>
    <w:rPr>
      <w:rFonts w:ascii="Cambria" w:hAnsi="Cambria" w:eastAsia="宋体"/>
      <w:i/>
      <w:iCs/>
      <w:color w:val="4F81BD"/>
      <w:kern w:val="0"/>
      <w:sz w:val="24"/>
      <w:lang w:eastAsia="en-US"/>
    </w:rPr>
  </w:style>
  <w:style w:type="paragraph" w:styleId="7">
    <w:name w:val="heading 5"/>
    <w:basedOn w:val="1"/>
    <w:next w:val="1"/>
    <w:link w:val="28"/>
    <w:qFormat/>
    <w:uiPriority w:val="99"/>
    <w:pPr>
      <w:widowControl/>
      <w:spacing w:before="200" w:after="80"/>
      <w:jc w:val="left"/>
      <w:outlineLvl w:val="4"/>
    </w:pPr>
    <w:rPr>
      <w:rFonts w:ascii="Cambria" w:hAnsi="Cambria" w:eastAsia="宋体"/>
      <w:color w:val="4F81BD"/>
      <w:kern w:val="0"/>
      <w:sz w:val="22"/>
      <w:szCs w:val="22"/>
      <w:lang w:eastAsia="en-US"/>
    </w:rPr>
  </w:style>
  <w:style w:type="paragraph" w:styleId="8">
    <w:name w:val="heading 6"/>
    <w:basedOn w:val="1"/>
    <w:next w:val="1"/>
    <w:link w:val="32"/>
    <w:qFormat/>
    <w:uiPriority w:val="99"/>
    <w:pPr>
      <w:widowControl/>
      <w:spacing w:before="280" w:after="100"/>
      <w:jc w:val="left"/>
      <w:outlineLvl w:val="5"/>
    </w:pPr>
    <w:rPr>
      <w:rFonts w:ascii="Cambria" w:hAnsi="Cambria" w:eastAsia="宋体"/>
      <w:i/>
      <w:iCs/>
      <w:color w:val="4F81BD"/>
      <w:kern w:val="0"/>
      <w:sz w:val="22"/>
      <w:szCs w:val="22"/>
      <w:lang w:eastAsia="en-US"/>
    </w:rPr>
  </w:style>
  <w:style w:type="paragraph" w:styleId="9">
    <w:name w:val="heading 7"/>
    <w:basedOn w:val="1"/>
    <w:next w:val="1"/>
    <w:link w:val="33"/>
    <w:qFormat/>
    <w:uiPriority w:val="99"/>
    <w:pPr>
      <w:widowControl/>
      <w:spacing w:before="320" w:after="100"/>
      <w:jc w:val="left"/>
      <w:outlineLvl w:val="6"/>
    </w:pPr>
    <w:rPr>
      <w:rFonts w:ascii="Cambria" w:hAnsi="Cambria" w:eastAsia="宋体"/>
      <w:b/>
      <w:bCs/>
      <w:color w:val="9BBB59"/>
      <w:kern w:val="0"/>
      <w:sz w:val="20"/>
      <w:szCs w:val="20"/>
      <w:lang w:eastAsia="en-US"/>
    </w:rPr>
  </w:style>
  <w:style w:type="paragraph" w:styleId="10">
    <w:name w:val="heading 8"/>
    <w:basedOn w:val="1"/>
    <w:next w:val="1"/>
    <w:link w:val="34"/>
    <w:qFormat/>
    <w:uiPriority w:val="99"/>
    <w:pPr>
      <w:widowControl/>
      <w:spacing w:before="320" w:after="100"/>
      <w:jc w:val="left"/>
      <w:outlineLvl w:val="7"/>
    </w:pPr>
    <w:rPr>
      <w:rFonts w:ascii="Cambria" w:hAnsi="Cambria" w:eastAsia="宋体"/>
      <w:b/>
      <w:bCs/>
      <w:i/>
      <w:iCs/>
      <w:color w:val="9BBB59"/>
      <w:kern w:val="0"/>
      <w:sz w:val="20"/>
      <w:szCs w:val="20"/>
      <w:lang w:eastAsia="en-US"/>
    </w:rPr>
  </w:style>
  <w:style w:type="paragraph" w:styleId="11">
    <w:name w:val="heading 9"/>
    <w:basedOn w:val="1"/>
    <w:next w:val="1"/>
    <w:link w:val="35"/>
    <w:qFormat/>
    <w:uiPriority w:val="99"/>
    <w:pPr>
      <w:widowControl/>
      <w:spacing w:before="320" w:after="100"/>
      <w:jc w:val="left"/>
      <w:outlineLvl w:val="8"/>
    </w:pPr>
    <w:rPr>
      <w:rFonts w:ascii="Cambria" w:hAnsi="Cambria" w:eastAsia="宋体"/>
      <w:i/>
      <w:iCs/>
      <w:color w:val="9BBB59"/>
      <w:kern w:val="0"/>
      <w:sz w:val="20"/>
      <w:szCs w:val="20"/>
      <w:lang w:eastAsia="en-US"/>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footnote text"/>
    <w:basedOn w:val="1"/>
    <w:qFormat/>
    <w:locked/>
    <w:uiPriority w:val="99"/>
    <w:pPr>
      <w:widowControl w:val="0"/>
      <w:autoSpaceDE w:val="0"/>
      <w:autoSpaceDN w:val="0"/>
      <w:adjustRightInd w:val="0"/>
      <w:snapToGrid w:val="0"/>
      <w:jc w:val="left"/>
    </w:pPr>
    <w:rPr>
      <w:rFonts w:ascii="宋体" w:hAnsi="Calibri" w:eastAsia="宋体" w:cs="Times New Roman"/>
      <w:sz w:val="18"/>
      <w:szCs w:val="24"/>
      <w:lang w:val="en-US" w:eastAsia="zh-CN" w:bidi="ar-SA"/>
    </w:rPr>
  </w:style>
  <w:style w:type="paragraph" w:styleId="12">
    <w:name w:val="Normal Indent"/>
    <w:basedOn w:val="1"/>
    <w:link w:val="55"/>
    <w:qFormat/>
    <w:locked/>
    <w:uiPriority w:val="99"/>
    <w:pPr>
      <w:widowControl/>
      <w:ind w:firstLine="420" w:firstLineChars="200"/>
      <w:jc w:val="left"/>
    </w:pPr>
    <w:rPr>
      <w:rFonts w:ascii="Calibri" w:hAnsi="Calibri" w:eastAsia="宋体"/>
      <w:kern w:val="0"/>
      <w:sz w:val="20"/>
      <w:szCs w:val="20"/>
    </w:rPr>
  </w:style>
  <w:style w:type="paragraph" w:styleId="13">
    <w:name w:val="caption"/>
    <w:basedOn w:val="1"/>
    <w:next w:val="1"/>
    <w:qFormat/>
    <w:uiPriority w:val="99"/>
    <w:pPr>
      <w:widowControl/>
      <w:ind w:firstLine="360"/>
      <w:jc w:val="left"/>
    </w:pPr>
    <w:rPr>
      <w:rFonts w:ascii="Calibri" w:hAnsi="Calibri" w:eastAsia="宋体"/>
      <w:b/>
      <w:bCs/>
      <w:kern w:val="0"/>
      <w:sz w:val="18"/>
      <w:szCs w:val="18"/>
      <w:lang w:eastAsia="en-US"/>
    </w:rPr>
  </w:style>
  <w:style w:type="paragraph" w:styleId="14">
    <w:name w:val="Document Map"/>
    <w:basedOn w:val="1"/>
    <w:link w:val="53"/>
    <w:semiHidden/>
    <w:qFormat/>
    <w:locked/>
    <w:uiPriority w:val="99"/>
    <w:pPr>
      <w:shd w:val="clear" w:color="auto" w:fill="000080"/>
    </w:pPr>
  </w:style>
  <w:style w:type="paragraph" w:styleId="15">
    <w:name w:val="Body Text"/>
    <w:basedOn w:val="1"/>
    <w:qFormat/>
    <w:locked/>
    <w:uiPriority w:val="0"/>
    <w:pPr>
      <w:ind w:right="-26"/>
      <w:jc w:val="center"/>
    </w:pPr>
    <w:rPr>
      <w:b/>
      <w:bCs/>
      <w:kern w:val="2"/>
      <w:sz w:val="84"/>
      <w:szCs w:val="84"/>
      <w:lang w:val="zh-CN"/>
    </w:rPr>
  </w:style>
  <w:style w:type="paragraph" w:styleId="16">
    <w:name w:val="Plain Text"/>
    <w:basedOn w:val="1"/>
    <w:link w:val="56"/>
    <w:qFormat/>
    <w:locked/>
    <w:uiPriority w:val="99"/>
    <w:rPr>
      <w:rFonts w:ascii="宋体" w:hAnsi="Courier New" w:eastAsia="宋体"/>
      <w:kern w:val="0"/>
      <w:sz w:val="20"/>
      <w:szCs w:val="20"/>
    </w:rPr>
  </w:style>
  <w:style w:type="paragraph" w:styleId="17">
    <w:name w:val="footer"/>
    <w:basedOn w:val="1"/>
    <w:link w:val="52"/>
    <w:semiHidden/>
    <w:qFormat/>
    <w:uiPriority w:val="99"/>
    <w:pPr>
      <w:tabs>
        <w:tab w:val="center" w:pos="4153"/>
        <w:tab w:val="right" w:pos="8306"/>
      </w:tabs>
      <w:snapToGrid w:val="0"/>
      <w:jc w:val="left"/>
    </w:pPr>
    <w:rPr>
      <w:sz w:val="18"/>
      <w:szCs w:val="18"/>
    </w:rPr>
  </w:style>
  <w:style w:type="paragraph" w:styleId="18">
    <w:name w:val="header"/>
    <w:basedOn w:val="1"/>
    <w:link w:val="51"/>
    <w:semiHidden/>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37"/>
    <w:qFormat/>
    <w:uiPriority w:val="99"/>
    <w:pPr>
      <w:widowControl/>
      <w:spacing w:before="200" w:after="900"/>
      <w:jc w:val="right"/>
    </w:pPr>
    <w:rPr>
      <w:rFonts w:ascii="Calibri" w:hAnsi="Calibri" w:eastAsia="宋体"/>
      <w:i/>
      <w:iCs/>
      <w:kern w:val="0"/>
      <w:sz w:val="24"/>
      <w:lang w:eastAsia="en-US"/>
    </w:rPr>
  </w:style>
  <w:style w:type="paragraph" w:styleId="20">
    <w:name w:val="Normal (Web)"/>
    <w:basedOn w:val="1"/>
    <w:unhideWhenUsed/>
    <w:qFormat/>
    <w:locked/>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36"/>
    <w:qFormat/>
    <w:uiPriority w:val="99"/>
    <w:pPr>
      <w:widowControl/>
      <w:pBdr>
        <w:top w:val="single" w:color="A7BFDE" w:sz="8" w:space="10"/>
        <w:bottom w:val="single" w:color="9BBB59" w:sz="24" w:space="15"/>
      </w:pBdr>
      <w:jc w:val="center"/>
    </w:pPr>
    <w:rPr>
      <w:rFonts w:ascii="Cambria" w:hAnsi="Cambria" w:eastAsia="宋体"/>
      <w:i/>
      <w:iCs/>
      <w:color w:val="243F60"/>
      <w:kern w:val="0"/>
      <w:sz w:val="60"/>
      <w:szCs w:val="60"/>
      <w:lang w:eastAsia="en-US"/>
    </w:rPr>
  </w:style>
  <w:style w:type="table" w:styleId="23">
    <w:name w:val="Table Grid"/>
    <w:basedOn w:val="2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99"/>
    <w:rPr>
      <w:rFonts w:cs="Times New Roman"/>
      <w:b/>
      <w:bCs/>
      <w:spacing w:val="0"/>
    </w:rPr>
  </w:style>
  <w:style w:type="character" w:styleId="26">
    <w:name w:val="Emphasis"/>
    <w:qFormat/>
    <w:uiPriority w:val="99"/>
    <w:rPr>
      <w:rFonts w:cs="Times New Roman"/>
      <w:b/>
      <w:i/>
      <w:color w:val="5A5A5A"/>
    </w:rPr>
  </w:style>
  <w:style w:type="character" w:customStyle="1" w:styleId="27">
    <w:name w:val="标题 1 Char"/>
    <w:link w:val="3"/>
    <w:qFormat/>
    <w:locked/>
    <w:uiPriority w:val="99"/>
    <w:rPr>
      <w:rFonts w:ascii="Cambria" w:hAnsi="Cambria" w:eastAsia="宋体" w:cs="Times New Roman"/>
      <w:b/>
      <w:bCs/>
      <w:color w:val="365F91"/>
      <w:sz w:val="24"/>
      <w:szCs w:val="24"/>
    </w:rPr>
  </w:style>
  <w:style w:type="character" w:customStyle="1" w:styleId="28">
    <w:name w:val="标题 5 Char"/>
    <w:link w:val="7"/>
    <w:qFormat/>
    <w:locked/>
    <w:uiPriority w:val="99"/>
    <w:rPr>
      <w:rFonts w:ascii="Cambria" w:hAnsi="Cambria" w:eastAsia="宋体" w:cs="Times New Roman"/>
      <w:color w:val="4F81BD"/>
    </w:rPr>
  </w:style>
  <w:style w:type="character" w:customStyle="1" w:styleId="29">
    <w:name w:val="标题 2 Char"/>
    <w:link w:val="4"/>
    <w:qFormat/>
    <w:locked/>
    <w:uiPriority w:val="99"/>
    <w:rPr>
      <w:rFonts w:ascii="Cambria" w:hAnsi="Cambria" w:eastAsia="宋体" w:cs="Times New Roman"/>
      <w:color w:val="365F91"/>
      <w:sz w:val="24"/>
      <w:szCs w:val="24"/>
    </w:rPr>
  </w:style>
  <w:style w:type="character" w:customStyle="1" w:styleId="30">
    <w:name w:val="标题 3 Char"/>
    <w:link w:val="5"/>
    <w:qFormat/>
    <w:locked/>
    <w:uiPriority w:val="99"/>
    <w:rPr>
      <w:rFonts w:ascii="Cambria" w:hAnsi="Cambria" w:eastAsia="宋体" w:cs="Times New Roman"/>
      <w:color w:val="4F81BD"/>
      <w:sz w:val="24"/>
      <w:szCs w:val="24"/>
    </w:rPr>
  </w:style>
  <w:style w:type="character" w:customStyle="1" w:styleId="31">
    <w:name w:val="标题 4 Char"/>
    <w:link w:val="6"/>
    <w:qFormat/>
    <w:locked/>
    <w:uiPriority w:val="99"/>
    <w:rPr>
      <w:rFonts w:ascii="Cambria" w:hAnsi="Cambria" w:eastAsia="宋体" w:cs="Times New Roman"/>
      <w:i/>
      <w:iCs/>
      <w:color w:val="4F81BD"/>
      <w:sz w:val="24"/>
      <w:szCs w:val="24"/>
    </w:rPr>
  </w:style>
  <w:style w:type="character" w:customStyle="1" w:styleId="32">
    <w:name w:val="标题 6 Char"/>
    <w:link w:val="8"/>
    <w:qFormat/>
    <w:locked/>
    <w:uiPriority w:val="99"/>
    <w:rPr>
      <w:rFonts w:ascii="Cambria" w:hAnsi="Cambria" w:eastAsia="宋体" w:cs="Times New Roman"/>
      <w:i/>
      <w:iCs/>
      <w:color w:val="4F81BD"/>
    </w:rPr>
  </w:style>
  <w:style w:type="character" w:customStyle="1" w:styleId="33">
    <w:name w:val="标题 7 Char"/>
    <w:link w:val="9"/>
    <w:qFormat/>
    <w:locked/>
    <w:uiPriority w:val="99"/>
    <w:rPr>
      <w:rFonts w:ascii="Cambria" w:hAnsi="Cambria" w:eastAsia="宋体" w:cs="Times New Roman"/>
      <w:b/>
      <w:bCs/>
      <w:color w:val="9BBB59"/>
      <w:sz w:val="20"/>
      <w:szCs w:val="20"/>
    </w:rPr>
  </w:style>
  <w:style w:type="character" w:customStyle="1" w:styleId="34">
    <w:name w:val="标题 8 Char"/>
    <w:link w:val="10"/>
    <w:qFormat/>
    <w:locked/>
    <w:uiPriority w:val="99"/>
    <w:rPr>
      <w:rFonts w:ascii="Cambria" w:hAnsi="Cambria" w:eastAsia="宋体" w:cs="Times New Roman"/>
      <w:b/>
      <w:bCs/>
      <w:i/>
      <w:iCs/>
      <w:color w:val="9BBB59"/>
      <w:sz w:val="20"/>
      <w:szCs w:val="20"/>
    </w:rPr>
  </w:style>
  <w:style w:type="character" w:customStyle="1" w:styleId="35">
    <w:name w:val="标题 9 Char"/>
    <w:link w:val="11"/>
    <w:qFormat/>
    <w:locked/>
    <w:uiPriority w:val="99"/>
    <w:rPr>
      <w:rFonts w:ascii="Cambria" w:hAnsi="Cambria" w:eastAsia="宋体" w:cs="Times New Roman"/>
      <w:i/>
      <w:iCs/>
      <w:color w:val="9BBB59"/>
      <w:sz w:val="20"/>
      <w:szCs w:val="20"/>
    </w:rPr>
  </w:style>
  <w:style w:type="character" w:customStyle="1" w:styleId="36">
    <w:name w:val="标题 Char"/>
    <w:link w:val="21"/>
    <w:qFormat/>
    <w:locked/>
    <w:uiPriority w:val="99"/>
    <w:rPr>
      <w:rFonts w:ascii="Cambria" w:hAnsi="Cambria" w:eastAsia="宋体" w:cs="Times New Roman"/>
      <w:i/>
      <w:iCs/>
      <w:color w:val="243F60"/>
      <w:sz w:val="60"/>
      <w:szCs w:val="60"/>
    </w:rPr>
  </w:style>
  <w:style w:type="character" w:customStyle="1" w:styleId="37">
    <w:name w:val="副标题 Char"/>
    <w:link w:val="19"/>
    <w:qFormat/>
    <w:locked/>
    <w:uiPriority w:val="99"/>
    <w:rPr>
      <w:rFonts w:ascii="Calibri" w:cs="Times New Roman"/>
      <w:i/>
      <w:iCs/>
      <w:sz w:val="24"/>
      <w:szCs w:val="24"/>
    </w:rPr>
  </w:style>
  <w:style w:type="paragraph" w:customStyle="1" w:styleId="38">
    <w:name w:val="无间隔1"/>
    <w:basedOn w:val="1"/>
    <w:link w:val="39"/>
    <w:qFormat/>
    <w:uiPriority w:val="99"/>
    <w:pPr>
      <w:widowControl/>
      <w:jc w:val="left"/>
    </w:pPr>
    <w:rPr>
      <w:rFonts w:ascii="Calibri" w:hAnsi="Calibri" w:eastAsia="宋体"/>
      <w:kern w:val="0"/>
      <w:sz w:val="22"/>
      <w:szCs w:val="22"/>
      <w:lang w:eastAsia="en-US"/>
    </w:rPr>
  </w:style>
  <w:style w:type="character" w:customStyle="1" w:styleId="39">
    <w:name w:val="No Spacing Char"/>
    <w:link w:val="38"/>
    <w:qFormat/>
    <w:locked/>
    <w:uiPriority w:val="99"/>
    <w:rPr>
      <w:rFonts w:cs="Times New Roman"/>
    </w:rPr>
  </w:style>
  <w:style w:type="paragraph" w:customStyle="1" w:styleId="40">
    <w:name w:val="列出段落1"/>
    <w:basedOn w:val="1"/>
    <w:qFormat/>
    <w:uiPriority w:val="99"/>
    <w:pPr>
      <w:widowControl/>
      <w:ind w:left="720" w:firstLine="360"/>
      <w:contextualSpacing/>
      <w:jc w:val="left"/>
    </w:pPr>
    <w:rPr>
      <w:rFonts w:ascii="Calibri" w:hAnsi="Calibri" w:eastAsia="宋体"/>
      <w:kern w:val="0"/>
      <w:sz w:val="22"/>
      <w:szCs w:val="22"/>
      <w:lang w:eastAsia="en-US"/>
    </w:rPr>
  </w:style>
  <w:style w:type="paragraph" w:customStyle="1" w:styleId="41">
    <w:name w:val="引用1"/>
    <w:basedOn w:val="1"/>
    <w:next w:val="1"/>
    <w:link w:val="42"/>
    <w:qFormat/>
    <w:uiPriority w:val="99"/>
    <w:pPr>
      <w:widowControl/>
      <w:ind w:firstLine="360"/>
      <w:jc w:val="left"/>
    </w:pPr>
    <w:rPr>
      <w:rFonts w:ascii="Cambria" w:hAnsi="Cambria" w:eastAsia="宋体"/>
      <w:i/>
      <w:iCs/>
      <w:color w:val="5A5A5A"/>
      <w:kern w:val="0"/>
      <w:sz w:val="22"/>
      <w:szCs w:val="22"/>
      <w:lang w:eastAsia="en-US"/>
    </w:rPr>
  </w:style>
  <w:style w:type="character" w:customStyle="1" w:styleId="42">
    <w:name w:val="Quote Char"/>
    <w:link w:val="41"/>
    <w:qFormat/>
    <w:locked/>
    <w:uiPriority w:val="99"/>
    <w:rPr>
      <w:rFonts w:ascii="Cambria" w:hAnsi="Cambria" w:eastAsia="宋体" w:cs="Times New Roman"/>
      <w:i/>
      <w:iCs/>
      <w:color w:val="5A5A5A"/>
    </w:rPr>
  </w:style>
  <w:style w:type="paragraph" w:customStyle="1" w:styleId="43">
    <w:name w:val="明显引用1"/>
    <w:basedOn w:val="1"/>
    <w:next w:val="1"/>
    <w:link w:val="44"/>
    <w:qFormat/>
    <w:uiPriority w:val="99"/>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eastAsia="宋体"/>
      <w:i/>
      <w:iCs/>
      <w:color w:val="FFFFFF"/>
      <w:kern w:val="0"/>
      <w:sz w:val="24"/>
      <w:lang w:eastAsia="en-US"/>
    </w:rPr>
  </w:style>
  <w:style w:type="character" w:customStyle="1" w:styleId="44">
    <w:name w:val="Intense Quote Char"/>
    <w:link w:val="43"/>
    <w:qFormat/>
    <w:locked/>
    <w:uiPriority w:val="99"/>
    <w:rPr>
      <w:rFonts w:ascii="Cambria" w:hAnsi="Cambria" w:eastAsia="宋体" w:cs="Times New Roman"/>
      <w:i/>
      <w:iCs/>
      <w:color w:val="FFFFFF"/>
      <w:sz w:val="24"/>
      <w:szCs w:val="24"/>
      <w:shd w:val="clear" w:color="auto" w:fill="4F81BD"/>
    </w:rPr>
  </w:style>
  <w:style w:type="character" w:customStyle="1" w:styleId="45">
    <w:name w:val="不明显强调1"/>
    <w:qFormat/>
    <w:uiPriority w:val="99"/>
    <w:rPr>
      <w:rFonts w:cs="Times New Roman"/>
      <w:i/>
      <w:color w:val="5A5A5A"/>
    </w:rPr>
  </w:style>
  <w:style w:type="character" w:customStyle="1" w:styleId="46">
    <w:name w:val="明显强调1"/>
    <w:qFormat/>
    <w:uiPriority w:val="99"/>
    <w:rPr>
      <w:rFonts w:cs="Times New Roman"/>
      <w:b/>
      <w:i/>
      <w:color w:val="4F81BD"/>
      <w:sz w:val="22"/>
    </w:rPr>
  </w:style>
  <w:style w:type="character" w:customStyle="1" w:styleId="47">
    <w:name w:val="不明显参考1"/>
    <w:qFormat/>
    <w:uiPriority w:val="99"/>
    <w:rPr>
      <w:rFonts w:cs="Times New Roman"/>
      <w:color w:val="auto"/>
      <w:u w:val="single" w:color="9BBB59"/>
    </w:rPr>
  </w:style>
  <w:style w:type="character" w:customStyle="1" w:styleId="48">
    <w:name w:val="明显参考1"/>
    <w:qFormat/>
    <w:uiPriority w:val="99"/>
    <w:rPr>
      <w:rFonts w:cs="Times New Roman"/>
      <w:b/>
      <w:bCs/>
      <w:color w:val="76923C"/>
      <w:u w:val="single" w:color="9BBB59"/>
    </w:rPr>
  </w:style>
  <w:style w:type="character" w:customStyle="1" w:styleId="49">
    <w:name w:val="书籍标题1"/>
    <w:qFormat/>
    <w:uiPriority w:val="99"/>
    <w:rPr>
      <w:rFonts w:ascii="Cambria" w:hAnsi="Cambria" w:eastAsia="宋体" w:cs="Times New Roman"/>
      <w:b/>
      <w:bCs/>
      <w:i/>
      <w:iCs/>
      <w:color w:val="auto"/>
    </w:rPr>
  </w:style>
  <w:style w:type="paragraph" w:customStyle="1" w:styleId="50">
    <w:name w:val="TOC 标题1"/>
    <w:basedOn w:val="3"/>
    <w:next w:val="1"/>
    <w:qFormat/>
    <w:uiPriority w:val="99"/>
    <w:pPr>
      <w:outlineLvl w:val="9"/>
    </w:pPr>
  </w:style>
  <w:style w:type="character" w:customStyle="1" w:styleId="51">
    <w:name w:val="页眉 Char"/>
    <w:link w:val="18"/>
    <w:semiHidden/>
    <w:qFormat/>
    <w:locked/>
    <w:uiPriority w:val="99"/>
    <w:rPr>
      <w:rFonts w:ascii="Times New Roman" w:hAnsi="Times New Roman" w:eastAsia="仿宋_GB2312" w:cs="Times New Roman"/>
      <w:kern w:val="2"/>
      <w:sz w:val="18"/>
      <w:szCs w:val="18"/>
      <w:lang w:eastAsia="zh-CN" w:bidi="ar-SA"/>
    </w:rPr>
  </w:style>
  <w:style w:type="character" w:customStyle="1" w:styleId="52">
    <w:name w:val="页脚 Char"/>
    <w:link w:val="17"/>
    <w:semiHidden/>
    <w:qFormat/>
    <w:locked/>
    <w:uiPriority w:val="99"/>
    <w:rPr>
      <w:rFonts w:ascii="Times New Roman" w:hAnsi="Times New Roman" w:eastAsia="仿宋_GB2312" w:cs="Times New Roman"/>
      <w:kern w:val="2"/>
      <w:sz w:val="18"/>
      <w:szCs w:val="18"/>
      <w:lang w:eastAsia="zh-CN" w:bidi="ar-SA"/>
    </w:rPr>
  </w:style>
  <w:style w:type="character" w:customStyle="1" w:styleId="53">
    <w:name w:val="文档结构图 Char"/>
    <w:link w:val="14"/>
    <w:semiHidden/>
    <w:qFormat/>
    <w:locked/>
    <w:uiPriority w:val="99"/>
    <w:rPr>
      <w:rFonts w:ascii="Times New Roman" w:hAnsi="Times New Roman" w:eastAsia="仿宋_GB2312" w:cs="Times New Roman"/>
      <w:sz w:val="2"/>
    </w:rPr>
  </w:style>
  <w:style w:type="character" w:customStyle="1" w:styleId="54">
    <w:name w:val="Plain Text Char"/>
    <w:qFormat/>
    <w:locked/>
    <w:uiPriority w:val="99"/>
    <w:rPr>
      <w:rFonts w:ascii="宋体" w:hAnsi="Courier New" w:eastAsia="宋体"/>
    </w:rPr>
  </w:style>
  <w:style w:type="character" w:customStyle="1" w:styleId="55">
    <w:name w:val="正文缩进 Char"/>
    <w:link w:val="12"/>
    <w:qFormat/>
    <w:locked/>
    <w:uiPriority w:val="99"/>
    <w:rPr>
      <w:rFonts w:eastAsia="宋体"/>
    </w:rPr>
  </w:style>
  <w:style w:type="character" w:customStyle="1" w:styleId="56">
    <w:name w:val="纯文本 Char"/>
    <w:link w:val="16"/>
    <w:semiHidden/>
    <w:qFormat/>
    <w:locked/>
    <w:uiPriority w:val="99"/>
    <w:rPr>
      <w:rFonts w:ascii="宋体" w:hAnsi="Courier New" w:cs="Courier New"/>
      <w:sz w:val="21"/>
      <w:szCs w:val="21"/>
    </w:rPr>
  </w:style>
  <w:style w:type="character" w:customStyle="1" w:styleId="57">
    <w:name w:val="weby11"/>
    <w:qFormat/>
    <w:uiPriority w:val="0"/>
    <w:rPr>
      <w:sz w:val="18"/>
      <w:szCs w:val="18"/>
    </w:rPr>
  </w:style>
  <w:style w:type="paragraph" w:customStyle="1" w:styleId="58">
    <w:name w:val="正文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954</Words>
  <Characters>1118</Characters>
  <Lines>6</Lines>
  <Paragraphs>1</Paragraphs>
  <TotalTime>6</TotalTime>
  <ScaleCrop>false</ScaleCrop>
  <LinksUpToDate>false</LinksUpToDate>
  <CharactersWithSpaces>1236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2015-11-27T10:20:00Z</dcterms:created>
  <dc:creator>admin</dc:creator>
  <cp:lastModifiedBy>袁@*然</cp:lastModifiedBy>
  <dcterms:modified xsi:type="dcterms:W3CDTF">2020-06-23T00:58:47Z</dcterms:modified>
  <dc:title>番禺区中医院扩建医疗综合大楼工程——污水处理站设备及安装（项目编号: FEGD-CT15661）中标结果公告</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