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eastAsia="宋体" w:cs="Times New Roman"/>
          <w:b/>
          <w:color w:val="auto"/>
          <w:kern w:val="0"/>
          <w:sz w:val="28"/>
          <w:szCs w:val="22"/>
        </w:rPr>
      </w:pPr>
      <w:r>
        <w:rPr>
          <w:rFonts w:hint="eastAsia" w:ascii="宋体" w:hAnsi="宋体" w:eastAsia="宋体" w:cs="Times New Roman"/>
          <w:b/>
          <w:color w:val="auto"/>
          <w:kern w:val="0"/>
          <w:sz w:val="28"/>
          <w:szCs w:val="22"/>
          <w:lang w:eastAsia="zh-CN"/>
        </w:rPr>
        <w:t>南方医科大学口腔医院（广东省口腔医院）总院负二层装修改造项目成交</w:t>
      </w:r>
      <w:r>
        <w:rPr>
          <w:rFonts w:hint="eastAsia" w:ascii="宋体" w:hAnsi="宋体" w:eastAsia="宋体" w:cs="Times New Roman"/>
          <w:b/>
          <w:color w:val="auto"/>
          <w:kern w:val="0"/>
          <w:sz w:val="28"/>
          <w:szCs w:val="22"/>
        </w:rPr>
        <w:t>结果公告</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Times New Roman"/>
          <w:color w:val="auto"/>
          <w:kern w:val="0"/>
          <w:sz w:val="24"/>
          <w:szCs w:val="22"/>
        </w:rPr>
      </w:pPr>
      <w:r>
        <w:rPr>
          <w:rFonts w:hint="eastAsia" w:ascii="宋体" w:hAnsi="宋体" w:eastAsia="宋体" w:cs="Times New Roman"/>
          <w:color w:val="auto"/>
          <w:kern w:val="0"/>
          <w:sz w:val="24"/>
          <w:szCs w:val="22"/>
        </w:rPr>
        <w:t>广东</w:t>
      </w:r>
      <w:r>
        <w:rPr>
          <w:rFonts w:hint="eastAsia" w:ascii="宋体" w:hAnsi="宋体" w:eastAsia="宋体" w:cs="Times New Roman"/>
          <w:color w:val="auto"/>
          <w:kern w:val="0"/>
          <w:sz w:val="24"/>
          <w:szCs w:val="22"/>
          <w:lang w:eastAsia="zh-CN"/>
        </w:rPr>
        <w:t>国利</w:t>
      </w:r>
      <w:r>
        <w:rPr>
          <w:rFonts w:hint="eastAsia" w:ascii="宋体" w:hAnsi="宋体" w:eastAsia="宋体" w:cs="Times New Roman"/>
          <w:color w:val="auto"/>
          <w:kern w:val="0"/>
          <w:sz w:val="24"/>
          <w:szCs w:val="22"/>
        </w:rPr>
        <w:t>招标代理有限公司受</w:t>
      </w:r>
      <w:r>
        <w:rPr>
          <w:rFonts w:hint="eastAsia" w:ascii="宋体" w:hAnsi="宋体" w:eastAsia="宋体" w:cs="Times New Roman"/>
          <w:color w:val="auto"/>
          <w:kern w:val="0"/>
          <w:sz w:val="24"/>
          <w:szCs w:val="22"/>
          <w:lang w:eastAsia="zh-CN"/>
        </w:rPr>
        <w:t>南方医科大学口腔医院（广东省口腔医院）</w:t>
      </w:r>
      <w:r>
        <w:rPr>
          <w:rFonts w:hint="eastAsia" w:ascii="宋体" w:hAnsi="宋体" w:eastAsia="宋体" w:cs="Times New Roman"/>
          <w:color w:val="auto"/>
          <w:kern w:val="0"/>
          <w:sz w:val="24"/>
          <w:szCs w:val="22"/>
        </w:rPr>
        <w:t>的委托，于</w:t>
      </w:r>
      <w:r>
        <w:rPr>
          <w:rFonts w:hint="eastAsia" w:ascii="宋体" w:hAnsi="宋体" w:eastAsia="宋体" w:cs="Times New Roman"/>
          <w:color w:val="auto"/>
          <w:kern w:val="0"/>
          <w:sz w:val="24"/>
          <w:szCs w:val="22"/>
          <w:lang w:eastAsia="zh-CN"/>
        </w:rPr>
        <w:t>2019年12月27日</w:t>
      </w:r>
      <w:r>
        <w:rPr>
          <w:rFonts w:hint="eastAsia" w:ascii="宋体" w:hAnsi="宋体" w:eastAsia="宋体" w:cs="Times New Roman"/>
          <w:color w:val="auto"/>
          <w:kern w:val="0"/>
          <w:sz w:val="24"/>
          <w:szCs w:val="22"/>
        </w:rPr>
        <w:t>就</w:t>
      </w:r>
      <w:r>
        <w:rPr>
          <w:rFonts w:hint="eastAsia" w:ascii="宋体" w:hAnsi="宋体" w:eastAsia="宋体" w:cs="Times New Roman"/>
          <w:color w:val="auto"/>
          <w:kern w:val="0"/>
          <w:sz w:val="24"/>
          <w:szCs w:val="22"/>
          <w:lang w:eastAsia="zh-CN"/>
        </w:rPr>
        <w:t>南方医科大学口腔医院（广东省口腔医院）总院负二层装修改造项目（项目编号：004043-2019165）</w:t>
      </w:r>
      <w:r>
        <w:rPr>
          <w:rFonts w:hint="eastAsia" w:ascii="宋体" w:hAnsi="宋体" w:eastAsia="宋体" w:cs="Times New Roman"/>
          <w:color w:val="auto"/>
          <w:kern w:val="0"/>
          <w:sz w:val="24"/>
          <w:szCs w:val="22"/>
        </w:rPr>
        <w:t>采用</w:t>
      </w:r>
      <w:r>
        <w:rPr>
          <w:rFonts w:hint="eastAsia" w:ascii="宋体" w:hAnsi="宋体" w:eastAsia="宋体" w:cs="Times New Roman"/>
          <w:color w:val="auto"/>
          <w:kern w:val="0"/>
          <w:sz w:val="24"/>
          <w:szCs w:val="22"/>
          <w:lang w:eastAsia="zh-CN"/>
        </w:rPr>
        <w:t>竞争性磋商</w:t>
      </w:r>
      <w:r>
        <w:rPr>
          <w:rFonts w:hint="eastAsia" w:ascii="宋体" w:hAnsi="宋体" w:eastAsia="宋体" w:cs="Times New Roman"/>
          <w:color w:val="auto"/>
          <w:kern w:val="0"/>
          <w:sz w:val="24"/>
          <w:szCs w:val="22"/>
        </w:rPr>
        <w:t>的采购方式进行采购。现就本次采购的中标（成交）结果公告如下：</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rPr>
        <w:t>采购项目编号：</w:t>
      </w:r>
      <w:r>
        <w:rPr>
          <w:rFonts w:hint="eastAsia" w:ascii="宋体" w:hAnsi="宋体" w:eastAsia="宋体" w:cs="Times New Roman"/>
          <w:color w:val="auto"/>
          <w:kern w:val="0"/>
          <w:sz w:val="24"/>
          <w:szCs w:val="22"/>
          <w:lang w:eastAsia="zh-CN"/>
        </w:rPr>
        <w:t>004043-2019165</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rPr>
        <w:t>采购项目名称：</w:t>
      </w:r>
      <w:r>
        <w:rPr>
          <w:rFonts w:hint="eastAsia" w:ascii="宋体" w:hAnsi="宋体" w:eastAsia="宋体" w:cs="Times New Roman"/>
          <w:color w:val="auto"/>
          <w:kern w:val="0"/>
          <w:sz w:val="24"/>
          <w:szCs w:val="22"/>
          <w:lang w:eastAsia="zh-CN"/>
        </w:rPr>
        <w:t>南方医科大学口腔医院（广东省口腔医院）总院负二层装修改造项目</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rPr>
        <w:t>采购项目预算金额（元）：</w:t>
      </w:r>
    </w:p>
    <w:p>
      <w:pPr>
        <w:keepNext w:val="0"/>
        <w:keepLines w:val="0"/>
        <w:pageBreakBefore w:val="0"/>
        <w:widowControl w:val="0"/>
        <w:kinsoku/>
        <w:wordWrap/>
        <w:overflowPunct/>
        <w:topLinePunct w:val="0"/>
        <w:bidi w:val="0"/>
        <w:adjustRightInd w:val="0"/>
        <w:snapToGrid w:val="0"/>
        <w:spacing w:line="360" w:lineRule="auto"/>
        <w:ind w:left="315" w:leftChars="150" w:right="0" w:rightChars="0" w:firstLine="0" w:firstLineChars="0"/>
        <w:jc w:val="both"/>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 xml:space="preserve"> 1.采购内容</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968"/>
        <w:gridCol w:w="284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13" w:type="pct"/>
            <w:shd w:val="clear" w:color="auto" w:fill="E0E0E0"/>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项目内容</w:t>
            </w:r>
          </w:p>
        </w:tc>
        <w:tc>
          <w:tcPr>
            <w:tcW w:w="568" w:type="pct"/>
            <w:shd w:val="clear" w:color="auto" w:fill="E0E0E0"/>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类别</w:t>
            </w:r>
          </w:p>
        </w:tc>
        <w:tc>
          <w:tcPr>
            <w:tcW w:w="1669" w:type="pct"/>
            <w:shd w:val="clear" w:color="auto" w:fill="E0E0E0"/>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完工期</w:t>
            </w:r>
          </w:p>
        </w:tc>
        <w:tc>
          <w:tcPr>
            <w:tcW w:w="1548" w:type="pct"/>
            <w:shd w:val="clear" w:color="auto" w:fill="E0E0E0"/>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★最高限价（人民币）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13" w:type="pct"/>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★总院负二层装修改造（含电梯）</w:t>
            </w:r>
          </w:p>
        </w:tc>
        <w:tc>
          <w:tcPr>
            <w:tcW w:w="568" w:type="pct"/>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val="en-US" w:eastAsia="zh-CN"/>
              </w:rPr>
              <w:t>工程</w:t>
            </w:r>
            <w:r>
              <w:rPr>
                <w:rFonts w:hint="eastAsia" w:ascii="宋体" w:hAnsi="宋体" w:eastAsia="宋体" w:cs="Times New Roman"/>
                <w:color w:val="auto"/>
                <w:kern w:val="0"/>
                <w:sz w:val="24"/>
                <w:szCs w:val="22"/>
                <w:lang w:eastAsia="zh-CN"/>
              </w:rPr>
              <w:t>类</w:t>
            </w:r>
          </w:p>
        </w:tc>
        <w:tc>
          <w:tcPr>
            <w:tcW w:w="1669" w:type="pct"/>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val="en-US" w:eastAsia="zh-CN"/>
              </w:rPr>
            </w:pPr>
            <w:r>
              <w:rPr>
                <w:rFonts w:hint="eastAsia" w:ascii="宋体" w:hAnsi="宋体" w:eastAsia="宋体" w:cs="Times New Roman"/>
                <w:color w:val="auto"/>
                <w:kern w:val="0"/>
                <w:sz w:val="24"/>
                <w:szCs w:val="22"/>
                <w:lang w:eastAsia="zh-CN"/>
              </w:rPr>
              <w:t>合同签定后开始计算（以发包方的正式开工令为准）施工总期： 90 日历天</w:t>
            </w:r>
          </w:p>
        </w:tc>
        <w:tc>
          <w:tcPr>
            <w:tcW w:w="1548" w:type="pct"/>
            <w:noWrap w:val="0"/>
            <w:vAlign w:val="center"/>
          </w:tcPr>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67.00万元</w:t>
            </w:r>
          </w:p>
          <w:p>
            <w:pPr>
              <w:keepNext w:val="0"/>
              <w:keepLines w:val="0"/>
              <w:pageBreakBefore w:val="0"/>
              <w:widowControl w:val="0"/>
              <w:kinsoku/>
              <w:wordWrap/>
              <w:overflowPunct/>
              <w:topLinePunct w:val="0"/>
              <w:bidi w:val="0"/>
              <w:adjustRightInd w:val="0"/>
              <w:snapToGrid w:val="0"/>
              <w:spacing w:line="360" w:lineRule="auto"/>
              <w:ind w:right="0" w:rightChars="0"/>
              <w:jc w:val="center"/>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投标报价超出最高限价投标无效</w:t>
            </w:r>
          </w:p>
        </w:tc>
      </w:tr>
    </w:tbl>
    <w:p>
      <w:pPr>
        <w:keepNext w:val="0"/>
        <w:keepLines w:val="0"/>
        <w:pageBreakBefore w:val="0"/>
        <w:widowControl w:val="0"/>
        <w:kinsoku/>
        <w:wordWrap/>
        <w:overflowPunct/>
        <w:topLinePunct w:val="0"/>
        <w:bidi w:val="0"/>
        <w:adjustRightInd w:val="0"/>
        <w:snapToGrid w:val="0"/>
        <w:spacing w:line="360" w:lineRule="auto"/>
        <w:ind w:left="315" w:leftChars="150" w:right="0" w:rightChars="0" w:firstLine="0" w:firstLineChars="0"/>
        <w:jc w:val="both"/>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val="en-US" w:eastAsia="zh-CN"/>
        </w:rPr>
        <w:t>注：</w:t>
      </w:r>
      <w:r>
        <w:rPr>
          <w:rFonts w:hint="eastAsia" w:ascii="宋体" w:hAnsi="宋体" w:eastAsia="宋体" w:cs="Times New Roman"/>
          <w:color w:val="auto"/>
          <w:kern w:val="0"/>
          <w:sz w:val="24"/>
          <w:szCs w:val="22"/>
          <w:lang w:eastAsia="zh-CN"/>
        </w:rPr>
        <w:t>供应商应对本项目进行整体投标，不允许只对其中部分内容进行投标，任何只对其中一部分内容进行的响应都被视为无效响应。</w:t>
      </w:r>
    </w:p>
    <w:p>
      <w:pPr>
        <w:keepNext w:val="0"/>
        <w:keepLines w:val="0"/>
        <w:pageBreakBefore w:val="0"/>
        <w:widowControl w:val="0"/>
        <w:kinsoku/>
        <w:wordWrap/>
        <w:overflowPunct/>
        <w:topLinePunct w:val="0"/>
        <w:bidi w:val="0"/>
        <w:adjustRightInd w:val="0"/>
        <w:snapToGrid w:val="0"/>
        <w:spacing w:line="360" w:lineRule="auto"/>
        <w:ind w:left="315" w:leftChars="150" w:right="0" w:rightChars="0" w:firstLine="0" w:firstLineChars="0"/>
        <w:jc w:val="both"/>
        <w:textAlignment w:val="auto"/>
        <w:outlineLvl w:val="9"/>
        <w:rPr>
          <w:rFonts w:hint="eastAsia" w:ascii="宋体" w:hAnsi="宋体" w:eastAsia="宋体" w:cs="Times New Roman"/>
          <w:color w:val="auto"/>
          <w:kern w:val="0"/>
          <w:sz w:val="24"/>
          <w:szCs w:val="22"/>
          <w:lang w:eastAsia="zh-CN"/>
        </w:rPr>
      </w:pPr>
      <w:r>
        <w:rPr>
          <w:rFonts w:hint="eastAsia" w:ascii="宋体" w:hAnsi="宋体" w:eastAsia="宋体" w:cs="Times New Roman"/>
          <w:color w:val="auto"/>
          <w:kern w:val="0"/>
          <w:sz w:val="24"/>
          <w:szCs w:val="22"/>
          <w:lang w:eastAsia="zh-CN"/>
        </w:rPr>
        <w:t>四、采购方式：竞争性磋商</w:t>
      </w:r>
    </w:p>
    <w:p>
      <w:pPr>
        <w:keepNext w:val="0"/>
        <w:keepLines w:val="0"/>
        <w:pageBreakBefore w:val="0"/>
        <w:widowControl w:val="0"/>
        <w:kinsoku/>
        <w:wordWrap/>
        <w:overflowPunct/>
        <w:topLinePunct w:val="0"/>
        <w:bidi w:val="0"/>
        <w:adjustRightInd w:val="0"/>
        <w:snapToGrid w:val="0"/>
        <w:spacing w:line="360" w:lineRule="auto"/>
        <w:ind w:left="315" w:leftChars="150" w:right="0" w:rightChars="0" w:firstLine="0" w:firstLineChars="0"/>
        <w:jc w:val="both"/>
        <w:textAlignment w:val="auto"/>
        <w:outlineLvl w:val="9"/>
        <w:rPr>
          <w:rFonts w:hint="eastAsia" w:ascii="宋体" w:hAnsi="宋体" w:eastAsia="宋体" w:cs="Times New Roman"/>
          <w:color w:val="auto"/>
          <w:sz w:val="24"/>
          <w:lang w:val="en-US" w:eastAsia="zh-CN"/>
        </w:rPr>
      </w:pPr>
      <w:r>
        <w:rPr>
          <w:rFonts w:hint="eastAsia" w:ascii="宋体" w:hAnsi="宋体" w:eastAsia="宋体" w:cs="Times New Roman"/>
          <w:color w:val="auto"/>
          <w:kern w:val="0"/>
          <w:sz w:val="24"/>
          <w:szCs w:val="22"/>
          <w:lang w:val="en-US" w:eastAsia="zh-CN"/>
        </w:rPr>
        <w:t>五、</w:t>
      </w:r>
      <w:r>
        <w:rPr>
          <w:rFonts w:hint="eastAsia" w:ascii="宋体" w:hAnsi="宋体" w:eastAsia="宋体" w:cs="Times New Roman"/>
          <w:color w:val="auto"/>
          <w:kern w:val="0"/>
          <w:sz w:val="24"/>
          <w:szCs w:val="22"/>
        </w:rPr>
        <w:t>中标供应商名称：</w:t>
      </w:r>
      <w:r>
        <w:rPr>
          <w:rFonts w:hint="eastAsia" w:ascii="宋体" w:hAnsi="宋体" w:eastAsia="宋体" w:cs="Times New Roman"/>
          <w:color w:val="auto"/>
          <w:kern w:val="0"/>
          <w:sz w:val="24"/>
          <w:szCs w:val="22"/>
          <w:lang w:eastAsia="zh-CN"/>
        </w:rPr>
        <w:t>广东蓝堡建设有限公司</w:t>
      </w:r>
    </w:p>
    <w:p>
      <w:pPr>
        <w:numPr>
          <w:ilvl w:val="0"/>
          <w:numId w:val="0"/>
        </w:numPr>
        <w:adjustRightInd w:val="0"/>
        <w:snapToGrid w:val="0"/>
        <w:spacing w:line="360" w:lineRule="auto"/>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法定代表</w:t>
      </w:r>
      <w:r>
        <w:rPr>
          <w:rFonts w:hint="eastAsia" w:ascii="宋体" w:hAnsi="宋体" w:eastAsia="宋体" w:cs="Times New Roman"/>
          <w:color w:val="auto"/>
          <w:sz w:val="24"/>
          <w:lang w:val="en-US" w:eastAsia="zh-CN"/>
        </w:rPr>
        <w:t>人：陈寿扬</w:t>
      </w:r>
    </w:p>
    <w:p>
      <w:pPr>
        <w:adjustRightInd w:val="0"/>
        <w:snapToGrid w:val="0"/>
        <w:spacing w:line="360" w:lineRule="auto"/>
        <w:ind w:firstLine="480" w:firstLineChars="200"/>
        <w:rPr>
          <w:rFonts w:hint="eastAsia" w:ascii="宋体" w:hAnsi="宋体" w:eastAsia="宋体" w:cs="Times New Roman"/>
          <w:color w:val="auto"/>
          <w:kern w:val="0"/>
          <w:sz w:val="24"/>
          <w:szCs w:val="22"/>
          <w:lang w:val="en-US" w:eastAsia="zh-CN"/>
        </w:rPr>
      </w:pPr>
      <w:r>
        <w:rPr>
          <w:rFonts w:hint="eastAsia" w:ascii="宋体" w:hAnsi="宋体" w:eastAsia="宋体" w:cs="Times New Roman"/>
          <w:color w:val="auto"/>
          <w:sz w:val="24"/>
          <w:lang w:val="en-US" w:eastAsia="zh-CN"/>
        </w:rPr>
        <w:t>中标供应商地址：广州市天河区广园东路2193号2604</w:t>
      </w:r>
    </w:p>
    <w:p>
      <w:pPr>
        <w:adjustRightInd w:val="0"/>
        <w:snapToGrid w:val="0"/>
        <w:spacing w:line="360" w:lineRule="auto"/>
        <w:ind w:firstLine="480" w:firstLineChars="200"/>
        <w:outlineLvl w:val="0"/>
        <w:rPr>
          <w:rFonts w:ascii="宋体" w:hAnsi="宋体" w:eastAsia="宋体" w:cs="Times New Roman"/>
          <w:color w:val="auto"/>
          <w:kern w:val="0"/>
          <w:sz w:val="24"/>
          <w:szCs w:val="22"/>
        </w:rPr>
      </w:pPr>
      <w:r>
        <w:rPr>
          <w:rFonts w:hint="eastAsia" w:ascii="宋体" w:hAnsi="宋体" w:eastAsia="宋体" w:cs="Times New Roman"/>
          <w:color w:val="auto"/>
          <w:kern w:val="0"/>
          <w:sz w:val="24"/>
          <w:szCs w:val="22"/>
        </w:rPr>
        <w:t>六、报价明细</w:t>
      </w:r>
    </w:p>
    <w:tbl>
      <w:tblPr>
        <w:tblStyle w:val="2"/>
        <w:tblW w:w="8465" w:type="dxa"/>
        <w:tblInd w:w="54" w:type="dxa"/>
        <w:tblLayout w:type="fixed"/>
        <w:tblCellMar>
          <w:top w:w="15" w:type="dxa"/>
          <w:left w:w="108" w:type="dxa"/>
          <w:bottom w:w="15" w:type="dxa"/>
          <w:right w:w="108" w:type="dxa"/>
        </w:tblCellMar>
      </w:tblPr>
      <w:tblGrid>
        <w:gridCol w:w="1458"/>
        <w:gridCol w:w="1382"/>
        <w:gridCol w:w="1502"/>
        <w:gridCol w:w="1262"/>
        <w:gridCol w:w="1382"/>
        <w:gridCol w:w="1479"/>
      </w:tblGrid>
      <w:tr>
        <w:tblPrEx>
          <w:tblCellMar>
            <w:top w:w="15" w:type="dxa"/>
            <w:left w:w="108" w:type="dxa"/>
            <w:bottom w:w="15" w:type="dxa"/>
            <w:right w:w="108" w:type="dxa"/>
          </w:tblCellMar>
        </w:tblPrEx>
        <w:trPr>
          <w:trHeight w:val="770" w:hRule="atLeast"/>
        </w:trPr>
        <w:tc>
          <w:tcPr>
            <w:tcW w:w="1458" w:type="dxa"/>
            <w:tcBorders>
              <w:top w:val="single" w:color="auto" w:sz="8" w:space="0"/>
              <w:left w:val="single" w:color="auto" w:sz="4" w:space="0"/>
              <w:bottom w:val="single" w:color="auto" w:sz="4" w:space="0"/>
              <w:right w:val="single" w:color="auto" w:sz="4" w:space="0"/>
            </w:tcBorders>
            <w:shd w:val="pct10" w:color="auto" w:fill="auto"/>
            <w:vAlign w:val="center"/>
          </w:tcPr>
          <w:p>
            <w:pPr>
              <w:keepNext w:val="0"/>
              <w:keepLines w:val="0"/>
              <w:widowControl/>
              <w:suppressLineNumbers w:val="0"/>
              <w:jc w:val="center"/>
              <w:rPr>
                <w:rFonts w:hint="eastAsia" w:ascii="宋体" w:hAnsi="宋体" w:eastAsia="宋体" w:cs="宋体"/>
                <w:color w:val="auto"/>
                <w:sz w:val="24"/>
              </w:rPr>
            </w:pPr>
            <w:bookmarkStart w:id="0" w:name="_GoBack"/>
            <w:r>
              <w:rPr>
                <w:rFonts w:hint="eastAsia" w:ascii="宋体" w:hAnsi="宋体" w:eastAsia="宋体" w:cs="宋体"/>
                <w:color w:val="auto"/>
                <w:kern w:val="0"/>
                <w:sz w:val="24"/>
                <w:szCs w:val="24"/>
                <w:lang w:val="en-US" w:eastAsia="zh-CN" w:bidi="ar"/>
              </w:rPr>
              <w:t>主要中标、成交标的名称</w:t>
            </w:r>
          </w:p>
        </w:tc>
        <w:tc>
          <w:tcPr>
            <w:tcW w:w="1382" w:type="dxa"/>
            <w:tcBorders>
              <w:top w:val="single" w:color="auto" w:sz="8" w:space="0"/>
              <w:left w:val="single" w:color="auto" w:sz="4" w:space="0"/>
              <w:bottom w:val="single" w:color="auto" w:sz="4" w:space="0"/>
              <w:right w:val="single" w:color="auto" w:sz="4" w:space="0"/>
            </w:tcBorders>
            <w:shd w:val="pct10" w:color="auto" w:fill="auto"/>
            <w:vAlign w:val="center"/>
          </w:tcPr>
          <w:p>
            <w:pPr>
              <w:keepNext w:val="0"/>
              <w:keepLines w:val="0"/>
              <w:widowControl/>
              <w:suppressLineNumbers w:val="0"/>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szCs w:val="24"/>
                <w:lang w:val="en-US" w:eastAsia="zh-CN" w:bidi="ar"/>
              </w:rPr>
              <w:t>规格型号</w:t>
            </w:r>
          </w:p>
        </w:tc>
        <w:tc>
          <w:tcPr>
            <w:tcW w:w="1502" w:type="dxa"/>
            <w:tcBorders>
              <w:top w:val="single" w:color="auto" w:sz="8" w:space="0"/>
              <w:left w:val="single" w:color="auto" w:sz="4" w:space="0"/>
              <w:bottom w:val="single" w:color="auto" w:sz="4" w:space="0"/>
              <w:right w:val="single" w:color="auto" w:sz="4" w:space="0"/>
            </w:tcBorders>
            <w:shd w:val="pct10" w:color="auto" w:fill="auto"/>
            <w:vAlign w:val="center"/>
          </w:tcPr>
          <w:p>
            <w:pPr>
              <w:keepNext w:val="0"/>
              <w:keepLines w:val="0"/>
              <w:widowControl/>
              <w:suppressLineNumbers w:val="0"/>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szCs w:val="24"/>
                <w:lang w:val="en-US" w:eastAsia="zh-CN" w:bidi="ar"/>
              </w:rPr>
              <w:t>数量</w:t>
            </w:r>
          </w:p>
        </w:tc>
        <w:tc>
          <w:tcPr>
            <w:tcW w:w="1262" w:type="dxa"/>
            <w:tcBorders>
              <w:top w:val="single" w:color="auto" w:sz="8" w:space="0"/>
              <w:left w:val="single" w:color="auto" w:sz="4" w:space="0"/>
              <w:bottom w:val="single" w:color="auto" w:sz="4" w:space="0"/>
              <w:right w:val="single" w:color="auto" w:sz="4" w:space="0"/>
            </w:tcBorders>
            <w:shd w:val="pct10" w:color="auto" w:fill="auto"/>
            <w:vAlign w:val="center"/>
          </w:tcPr>
          <w:p>
            <w:pPr>
              <w:keepNext w:val="0"/>
              <w:keepLines w:val="0"/>
              <w:widowControl/>
              <w:suppressLineNumbers w:val="0"/>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szCs w:val="24"/>
                <w:lang w:val="en-US" w:eastAsia="zh-CN" w:bidi="ar"/>
              </w:rPr>
              <w:t>单价（元）</w:t>
            </w:r>
          </w:p>
        </w:tc>
        <w:tc>
          <w:tcPr>
            <w:tcW w:w="1382" w:type="dxa"/>
            <w:tcBorders>
              <w:top w:val="single" w:color="auto" w:sz="8" w:space="0"/>
              <w:left w:val="single" w:color="auto" w:sz="4" w:space="0"/>
              <w:bottom w:val="single" w:color="auto" w:sz="4" w:space="0"/>
              <w:right w:val="single" w:color="auto" w:sz="4" w:space="0"/>
            </w:tcBorders>
            <w:shd w:val="pct10" w:color="auto" w:fill="auto"/>
            <w:vAlign w:val="center"/>
          </w:tcPr>
          <w:p>
            <w:pPr>
              <w:keepNext w:val="0"/>
              <w:keepLines w:val="0"/>
              <w:widowControl/>
              <w:suppressLineNumbers w:val="0"/>
              <w:jc w:val="center"/>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bidi="ar"/>
              </w:rPr>
              <w:t>服务要求</w:t>
            </w:r>
          </w:p>
        </w:tc>
        <w:tc>
          <w:tcPr>
            <w:tcW w:w="1479" w:type="dxa"/>
            <w:tcBorders>
              <w:top w:val="single" w:color="auto" w:sz="8" w:space="0"/>
              <w:left w:val="single" w:color="auto" w:sz="4" w:space="0"/>
              <w:bottom w:val="single" w:color="auto" w:sz="4" w:space="0"/>
              <w:right w:val="single" w:color="auto" w:sz="4" w:space="0"/>
            </w:tcBorders>
            <w:shd w:val="pct10" w:color="auto" w:fill="auto"/>
            <w:vAlign w:val="center"/>
          </w:tcPr>
          <w:p>
            <w:pPr>
              <w:keepNext w:val="0"/>
              <w:keepLines w:val="0"/>
              <w:widowControl/>
              <w:suppressLineNumbers w:val="0"/>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szCs w:val="24"/>
                <w:lang w:val="en-US" w:eastAsia="zh-CN" w:bidi="ar"/>
              </w:rPr>
              <w:t>中标、成交金额（元）</w:t>
            </w:r>
          </w:p>
        </w:tc>
      </w:tr>
      <w:tr>
        <w:tblPrEx>
          <w:tblCellMar>
            <w:top w:w="15" w:type="dxa"/>
            <w:left w:w="108" w:type="dxa"/>
            <w:bottom w:w="15" w:type="dxa"/>
            <w:right w:w="108" w:type="dxa"/>
          </w:tblCellMar>
        </w:tblPrEx>
        <w:trPr>
          <w:trHeight w:val="770" w:hRule="atLeast"/>
        </w:trPr>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南方医科大学口腔医院（广东省口腔医院）总院负二层装修改造项目</w:t>
            </w:r>
          </w:p>
        </w:tc>
        <w:tc>
          <w:tcPr>
            <w:tcW w:w="1382"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u w:val="none"/>
                <w:lang w:val="en-US" w:eastAsia="zh-CN" w:bidi="ar"/>
              </w:rPr>
            </w:pPr>
            <w:r>
              <w:rPr>
                <w:rFonts w:hint="eastAsia" w:ascii="宋体" w:hAnsi="宋体" w:eastAsia="宋体" w:cs="宋体"/>
                <w:b w:val="0"/>
                <w:bCs/>
                <w:i w:val="0"/>
                <w:color w:val="auto"/>
                <w:kern w:val="0"/>
                <w:sz w:val="24"/>
                <w:szCs w:val="24"/>
                <w:u w:val="none"/>
                <w:lang w:val="en-US" w:eastAsia="zh-CN" w:bidi="ar"/>
              </w:rPr>
              <w:t>/</w:t>
            </w:r>
          </w:p>
        </w:tc>
        <w:tc>
          <w:tcPr>
            <w:tcW w:w="1502"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u w:val="none"/>
                <w:lang w:val="en-US" w:eastAsia="zh-CN" w:bidi="ar"/>
              </w:rPr>
            </w:pPr>
            <w:r>
              <w:rPr>
                <w:rFonts w:hint="eastAsia" w:ascii="宋体" w:hAnsi="宋体" w:eastAsia="宋体" w:cs="宋体"/>
                <w:b w:val="0"/>
                <w:bCs/>
                <w:i w:val="0"/>
                <w:color w:val="auto"/>
                <w:kern w:val="0"/>
                <w:sz w:val="24"/>
                <w:szCs w:val="24"/>
                <w:u w:val="none"/>
                <w:lang w:val="en-US" w:eastAsia="zh-CN" w:bidi="ar"/>
              </w:rPr>
              <w:t>合同签定后开始计算（以发包方的正式开工令为准）施工总期：80日历天</w:t>
            </w:r>
          </w:p>
        </w:tc>
        <w:tc>
          <w:tcPr>
            <w:tcW w:w="1262"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w:t>
            </w:r>
          </w:p>
        </w:tc>
        <w:tc>
          <w:tcPr>
            <w:tcW w:w="1382"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宋体" w:hAnsi="宋体" w:eastAsia="宋体" w:cs="宋体"/>
                <w:color w:val="auto"/>
                <w:sz w:val="24"/>
              </w:rPr>
            </w:pPr>
            <w:r>
              <w:rPr>
                <w:rFonts w:hint="eastAsia" w:ascii="宋体" w:hAnsi="宋体" w:eastAsia="宋体" w:cs="宋体"/>
                <w:color w:val="auto"/>
                <w:sz w:val="24"/>
              </w:rPr>
              <w:t>按《</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》要求和《</w:t>
            </w:r>
            <w:r>
              <w:rPr>
                <w:rFonts w:hint="eastAsia" w:ascii="宋体" w:hAnsi="宋体" w:eastAsia="宋体" w:cs="宋体"/>
                <w:color w:val="auto"/>
                <w:sz w:val="24"/>
                <w:lang w:eastAsia="zh-CN"/>
              </w:rPr>
              <w:t>响应</w:t>
            </w:r>
            <w:r>
              <w:rPr>
                <w:rFonts w:hint="eastAsia" w:ascii="宋体" w:hAnsi="宋体" w:eastAsia="宋体" w:cs="宋体"/>
                <w:color w:val="auto"/>
                <w:sz w:val="24"/>
              </w:rPr>
              <w:t>文件》响应执行</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sz w:val="24"/>
                <w:lang w:val="en-US"/>
              </w:rPr>
            </w:pPr>
            <w:r>
              <w:rPr>
                <w:rFonts w:hint="eastAsia" w:ascii="宋体" w:hAnsi="宋体" w:eastAsia="宋体" w:cs="宋体"/>
                <w:i w:val="0"/>
                <w:color w:val="auto"/>
                <w:kern w:val="0"/>
                <w:sz w:val="24"/>
                <w:szCs w:val="24"/>
                <w:u w:val="none"/>
                <w:lang w:val="en-US" w:eastAsia="zh-CN" w:bidi="ar"/>
              </w:rPr>
              <w:t>￥618,000.00</w:t>
            </w:r>
          </w:p>
        </w:tc>
      </w:tr>
      <w:bookmarkEnd w:id="0"/>
    </w:tbl>
    <w:p>
      <w:pPr>
        <w:rPr>
          <w:rFonts w:hint="eastAsia" w:ascii="宋体" w:hAnsi="宋体" w:eastAsia="宋体" w:cs="Times New Roman"/>
          <w:color w:val="auto"/>
          <w:kern w:val="0"/>
          <w:sz w:val="24"/>
          <w:szCs w:val="22"/>
        </w:rPr>
      </w:pPr>
    </w:p>
    <w:p>
      <w:pPr>
        <w:adjustRightInd w:val="0"/>
        <w:snapToGrid w:val="0"/>
        <w:spacing w:line="560" w:lineRule="exact"/>
        <w:ind w:firstLine="480" w:firstLineChars="200"/>
        <w:outlineLvl w:val="0"/>
        <w:rPr>
          <w:rFonts w:ascii="宋体" w:hAnsi="宋体" w:eastAsia="宋体" w:cs="Times New Roman"/>
          <w:color w:val="auto"/>
          <w:kern w:val="0"/>
          <w:sz w:val="24"/>
          <w:szCs w:val="22"/>
        </w:rPr>
      </w:pPr>
      <w:r>
        <w:rPr>
          <w:rFonts w:hint="eastAsia" w:ascii="宋体" w:hAnsi="宋体" w:eastAsia="宋体" w:cs="Times New Roman"/>
          <w:color w:val="auto"/>
          <w:kern w:val="0"/>
          <w:sz w:val="24"/>
          <w:szCs w:val="22"/>
        </w:rPr>
        <w:t>七、评</w:t>
      </w:r>
      <w:r>
        <w:rPr>
          <w:rFonts w:hint="eastAsia" w:ascii="宋体" w:hAnsi="宋体" w:eastAsia="宋体" w:cs="Times New Roman"/>
          <w:color w:val="auto"/>
          <w:kern w:val="0"/>
          <w:sz w:val="24"/>
          <w:szCs w:val="22"/>
          <w:lang w:eastAsia="zh-CN"/>
        </w:rPr>
        <w:t>审</w:t>
      </w:r>
      <w:r>
        <w:rPr>
          <w:rFonts w:hint="eastAsia" w:ascii="宋体" w:hAnsi="宋体" w:eastAsia="宋体" w:cs="Times New Roman"/>
          <w:color w:val="auto"/>
          <w:kern w:val="0"/>
          <w:sz w:val="24"/>
          <w:szCs w:val="22"/>
        </w:rPr>
        <w:t>日期</w:t>
      </w:r>
      <w:r>
        <w:rPr>
          <w:rFonts w:ascii="宋体" w:hAnsi="宋体" w:eastAsia="宋体" w:cs="Times New Roman"/>
          <w:color w:val="auto"/>
          <w:kern w:val="0"/>
          <w:sz w:val="24"/>
          <w:szCs w:val="22"/>
        </w:rPr>
        <w:t xml:space="preserve"> </w:t>
      </w:r>
      <w:r>
        <w:rPr>
          <w:rFonts w:hint="eastAsia" w:ascii="宋体" w:hAnsi="宋体" w:eastAsia="宋体" w:cs="Times New Roman"/>
          <w:color w:val="auto"/>
          <w:kern w:val="0"/>
          <w:sz w:val="24"/>
          <w:szCs w:val="22"/>
        </w:rPr>
        <w:t>：</w:t>
      </w:r>
      <w:r>
        <w:rPr>
          <w:rFonts w:hint="eastAsia" w:ascii="宋体" w:hAnsi="宋体" w:eastAsia="宋体" w:cs="Times New Roman"/>
          <w:color w:val="auto"/>
          <w:kern w:val="0"/>
          <w:sz w:val="24"/>
          <w:szCs w:val="22"/>
          <w:u w:val="single"/>
          <w:lang w:eastAsia="zh-CN"/>
        </w:rPr>
        <w:t>2019年12月27日</w:t>
      </w:r>
      <w:r>
        <w:rPr>
          <w:rFonts w:hint="eastAsia" w:ascii="宋体" w:hAnsi="宋体" w:eastAsia="宋体" w:cs="Times New Roman"/>
          <w:color w:val="auto"/>
          <w:kern w:val="0"/>
          <w:sz w:val="24"/>
          <w:szCs w:val="22"/>
        </w:rPr>
        <w:t>；评</w:t>
      </w:r>
      <w:r>
        <w:rPr>
          <w:rFonts w:hint="eastAsia" w:ascii="宋体" w:hAnsi="宋体" w:eastAsia="宋体" w:cs="Times New Roman"/>
          <w:color w:val="auto"/>
          <w:kern w:val="0"/>
          <w:sz w:val="24"/>
          <w:szCs w:val="22"/>
          <w:lang w:eastAsia="zh-CN"/>
        </w:rPr>
        <w:t>审</w:t>
      </w:r>
      <w:r>
        <w:rPr>
          <w:rFonts w:hint="eastAsia" w:ascii="宋体" w:hAnsi="宋体" w:eastAsia="宋体" w:cs="Times New Roman"/>
          <w:color w:val="auto"/>
          <w:kern w:val="0"/>
          <w:sz w:val="24"/>
          <w:szCs w:val="22"/>
        </w:rPr>
        <w:t>地点：</w:t>
      </w:r>
      <w:r>
        <w:rPr>
          <w:rFonts w:hint="eastAsia" w:ascii="宋体" w:hAnsi="宋体" w:eastAsia="宋体" w:cs="Times New Roman"/>
          <w:color w:val="auto"/>
          <w:kern w:val="0"/>
          <w:sz w:val="24"/>
          <w:szCs w:val="22"/>
          <w:u w:val="single"/>
          <w:lang w:eastAsia="zh-CN"/>
        </w:rPr>
        <w:t>广州市天河区珠江新城华强路9号保利克洛维中盈大厦24楼2402评</w:t>
      </w:r>
      <w:r>
        <w:rPr>
          <w:rFonts w:hint="eastAsia" w:ascii="宋体" w:hAnsi="宋体" w:eastAsia="宋体" w:cs="Times New Roman"/>
          <w:color w:val="auto"/>
          <w:kern w:val="0"/>
          <w:sz w:val="24"/>
          <w:szCs w:val="22"/>
          <w:u w:val="single"/>
          <w:lang w:val="zh-CN" w:eastAsia="zh-CN"/>
        </w:rPr>
        <w:t>标室</w:t>
      </w:r>
      <w:r>
        <w:rPr>
          <w:rFonts w:ascii="宋体" w:hAnsi="宋体" w:eastAsia="宋体" w:cs="Times New Roman"/>
          <w:color w:val="auto"/>
          <w:kern w:val="0"/>
          <w:sz w:val="24"/>
          <w:szCs w:val="22"/>
        </w:rPr>
        <w:t xml:space="preserve">    </w:t>
      </w:r>
    </w:p>
    <w:p>
      <w:pPr>
        <w:adjustRightInd w:val="0"/>
        <w:snapToGrid w:val="0"/>
        <w:spacing w:line="560" w:lineRule="exact"/>
        <w:ind w:left="480" w:hanging="480" w:hangingChars="200"/>
        <w:rPr>
          <w:rFonts w:hint="eastAsia" w:ascii="宋体" w:hAnsi="宋体" w:eastAsia="宋体" w:cs="Times New Roman"/>
          <w:color w:val="auto"/>
          <w:kern w:val="0"/>
          <w:sz w:val="24"/>
          <w:szCs w:val="22"/>
        </w:rPr>
      </w:pPr>
      <w:r>
        <w:rPr>
          <w:rFonts w:ascii="宋体" w:hAnsi="宋体" w:eastAsia="宋体" w:cs="Times New Roman"/>
          <w:color w:val="auto"/>
          <w:kern w:val="0"/>
          <w:sz w:val="24"/>
          <w:szCs w:val="22"/>
        </w:rPr>
        <w:t xml:space="preserve">        </w:t>
      </w:r>
      <w:r>
        <w:rPr>
          <w:rFonts w:hint="eastAsia" w:ascii="宋体" w:hAnsi="宋体" w:eastAsia="宋体" w:cs="Times New Roman"/>
          <w:color w:val="auto"/>
          <w:kern w:val="0"/>
          <w:sz w:val="24"/>
          <w:szCs w:val="22"/>
        </w:rPr>
        <w:t>评审委员会（谈判小组、询价小组、磋商小组或单一来源采购小组）：</w:t>
      </w:r>
    </w:p>
    <w:p>
      <w:pPr>
        <w:adjustRightInd w:val="0"/>
        <w:snapToGrid w:val="0"/>
        <w:spacing w:line="560" w:lineRule="exact"/>
        <w:ind w:left="480" w:hanging="480" w:hangingChars="200"/>
        <w:rPr>
          <w:rFonts w:ascii="Times New Roman" w:hAnsi="Times New Roman" w:eastAsia="仿宋_GB2312" w:cs="Times New Roman"/>
          <w:sz w:val="32"/>
        </w:rPr>
      </w:pPr>
      <w:r>
        <w:rPr>
          <w:rFonts w:hint="eastAsia" w:ascii="宋体" w:hAnsi="宋体" w:eastAsia="宋体" w:cs="Times New Roman"/>
          <w:color w:val="auto"/>
          <w:kern w:val="0"/>
          <w:sz w:val="24"/>
          <w:szCs w:val="22"/>
        </w:rPr>
        <w:t>负责人：</w:t>
      </w:r>
      <w:r>
        <w:rPr>
          <w:rFonts w:hint="eastAsia" w:ascii="宋体" w:hAnsi="宋体" w:eastAsia="宋体" w:cs="Times New Roman"/>
          <w:color w:val="auto"/>
          <w:kern w:val="0"/>
          <w:sz w:val="24"/>
          <w:szCs w:val="22"/>
          <w:lang w:eastAsia="zh-CN"/>
        </w:rPr>
        <w:t>朱雷</w:t>
      </w:r>
      <w:r>
        <w:rPr>
          <w:rFonts w:hint="eastAsia" w:ascii="宋体" w:hAnsi="宋体" w:eastAsia="宋体" w:cs="Times New Roman"/>
          <w:color w:val="auto"/>
          <w:kern w:val="0"/>
          <w:sz w:val="24"/>
          <w:szCs w:val="22"/>
        </w:rPr>
        <w:t>；成员：</w:t>
      </w:r>
      <w:r>
        <w:rPr>
          <w:rFonts w:hint="eastAsia" w:ascii="宋体" w:hAnsi="宋体" w:eastAsia="宋体" w:cs="Times New Roman"/>
          <w:color w:val="auto"/>
          <w:kern w:val="0"/>
          <w:sz w:val="24"/>
          <w:szCs w:val="22"/>
          <w:lang w:eastAsia="zh-CN"/>
        </w:rPr>
        <w:t>庞大军、刘小春。</w:t>
      </w:r>
    </w:p>
    <w:tbl>
      <w:tblPr>
        <w:tblStyle w:val="2"/>
        <w:tblW w:w="5000" w:type="pct"/>
        <w:tblInd w:w="0" w:type="dxa"/>
        <w:shd w:val="clear" w:color="auto" w:fill="auto"/>
        <w:tblLayout w:type="fixed"/>
        <w:tblCellMar>
          <w:top w:w="0" w:type="dxa"/>
          <w:left w:w="0" w:type="dxa"/>
          <w:bottom w:w="0" w:type="dxa"/>
          <w:right w:w="0" w:type="dxa"/>
        </w:tblCellMar>
      </w:tblPr>
      <w:tblGrid>
        <w:gridCol w:w="334"/>
        <w:gridCol w:w="2911"/>
        <w:gridCol w:w="1880"/>
        <w:gridCol w:w="730"/>
        <w:gridCol w:w="680"/>
        <w:gridCol w:w="680"/>
        <w:gridCol w:w="640"/>
        <w:gridCol w:w="481"/>
      </w:tblGrid>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序号</w:t>
            </w:r>
          </w:p>
        </w:tc>
        <w:tc>
          <w:tcPr>
            <w:tcW w:w="1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供应商名称</w:t>
            </w:r>
          </w:p>
        </w:tc>
        <w:tc>
          <w:tcPr>
            <w:tcW w:w="1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lang w:val="en-US" w:eastAsia="zh-CN"/>
              </w:rPr>
            </w:pPr>
            <w:r>
              <w:rPr>
                <w:rFonts w:hint="eastAsia" w:ascii="宋体" w:hAnsi="宋体" w:eastAsia="宋体" w:cs="Times New Roman"/>
                <w:b/>
                <w:bCs/>
                <w:color w:val="auto"/>
                <w:kern w:val="0"/>
                <w:sz w:val="24"/>
                <w:szCs w:val="22"/>
                <w:lang w:val="en-US" w:eastAsia="zh-CN"/>
              </w:rPr>
              <w:t>最终报价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（人民币：元）</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价格得分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商务得分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技术得分</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综合得分</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b/>
                <w:bCs/>
                <w:color w:val="auto"/>
                <w:kern w:val="0"/>
                <w:sz w:val="24"/>
                <w:szCs w:val="22"/>
              </w:rPr>
            </w:pPr>
            <w:r>
              <w:rPr>
                <w:rFonts w:hint="eastAsia" w:ascii="宋体" w:hAnsi="宋体" w:eastAsia="宋体" w:cs="Times New Roman"/>
                <w:b/>
                <w:bCs/>
                <w:color w:val="auto"/>
                <w:kern w:val="0"/>
                <w:sz w:val="24"/>
                <w:szCs w:val="22"/>
                <w:lang w:val="en-US" w:eastAsia="zh-CN"/>
              </w:rPr>
              <w:t>排名</w:t>
            </w:r>
          </w:p>
        </w:tc>
      </w:tr>
      <w:tr>
        <w:tblPrEx>
          <w:tblCellMar>
            <w:top w:w="0" w:type="dxa"/>
            <w:left w:w="0" w:type="dxa"/>
            <w:bottom w:w="0" w:type="dxa"/>
            <w:right w:w="0" w:type="dxa"/>
          </w:tblCellMar>
        </w:tblPrEx>
        <w:trPr>
          <w:trHeight w:val="58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1</w:t>
            </w:r>
          </w:p>
        </w:tc>
        <w:tc>
          <w:tcPr>
            <w:tcW w:w="1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广东蓝堡建设有限公司</w:t>
            </w:r>
          </w:p>
        </w:tc>
        <w:tc>
          <w:tcPr>
            <w:tcW w:w="1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￥618,000.00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30.00</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30.00</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34.33</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94.33</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1</w:t>
            </w:r>
          </w:p>
        </w:tc>
      </w:tr>
      <w:tr>
        <w:tblPrEx>
          <w:tblCellMar>
            <w:top w:w="0" w:type="dxa"/>
            <w:left w:w="0" w:type="dxa"/>
            <w:bottom w:w="0" w:type="dxa"/>
            <w:right w:w="0" w:type="dxa"/>
          </w:tblCellMar>
        </w:tblPrEx>
        <w:trPr>
          <w:trHeight w:val="58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2</w:t>
            </w:r>
          </w:p>
        </w:tc>
        <w:tc>
          <w:tcPr>
            <w:tcW w:w="1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广州市盛州建筑工程有限公司</w:t>
            </w:r>
          </w:p>
        </w:tc>
        <w:tc>
          <w:tcPr>
            <w:tcW w:w="1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￥665,000.00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27.88</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20.00</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32.67</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80.55</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2</w:t>
            </w:r>
          </w:p>
        </w:tc>
      </w:tr>
      <w:tr>
        <w:tblPrEx>
          <w:tblCellMar>
            <w:top w:w="0" w:type="dxa"/>
            <w:left w:w="0" w:type="dxa"/>
            <w:bottom w:w="0" w:type="dxa"/>
            <w:right w:w="0" w:type="dxa"/>
          </w:tblCellMar>
        </w:tblPrEx>
        <w:trPr>
          <w:trHeight w:val="62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lang w:val="en-US" w:eastAsia="zh-CN"/>
              </w:rPr>
              <w:t>3</w:t>
            </w:r>
          </w:p>
        </w:tc>
        <w:tc>
          <w:tcPr>
            <w:tcW w:w="17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深圳市万德建设集团股份有限公司</w:t>
            </w:r>
          </w:p>
        </w:tc>
        <w:tc>
          <w:tcPr>
            <w:tcW w:w="1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￥618,500.00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29.98</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20.00</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28.67</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78.65</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Times New Roman"/>
                <w:color w:val="auto"/>
                <w:kern w:val="0"/>
                <w:sz w:val="24"/>
                <w:szCs w:val="22"/>
                <w:lang w:val="en-US" w:eastAsia="zh-CN" w:bidi="ar-SA"/>
              </w:rPr>
            </w:pPr>
            <w:r>
              <w:rPr>
                <w:rFonts w:hint="eastAsia" w:ascii="宋体" w:hAnsi="宋体" w:eastAsia="宋体" w:cs="Times New Roman"/>
                <w:color w:val="auto"/>
                <w:kern w:val="0"/>
                <w:sz w:val="24"/>
                <w:szCs w:val="22"/>
                <w:lang w:val="en-US" w:eastAsia="zh-CN"/>
              </w:rPr>
              <w:t>3</w:t>
            </w:r>
          </w:p>
        </w:tc>
      </w:tr>
    </w:tbl>
    <w:p>
      <w:pPr>
        <w:adjustRightInd w:val="0"/>
        <w:snapToGrid w:val="0"/>
        <w:spacing w:line="560" w:lineRule="exact"/>
        <w:ind w:firstLine="480" w:firstLineChars="200"/>
        <w:outlineLvl w:val="0"/>
        <w:rPr>
          <w:rFonts w:hint="eastAsia" w:ascii="Times New Roman" w:hAnsi="Times New Roman" w:eastAsia="仿宋_GB2312" w:cs="Times New Roman"/>
          <w:color w:val="auto"/>
          <w:sz w:val="32"/>
        </w:rPr>
      </w:pPr>
      <w:r>
        <w:rPr>
          <w:rFonts w:hint="eastAsia" w:ascii="宋体" w:hAnsi="宋体" w:eastAsia="宋体" w:cs="Times New Roman"/>
          <w:color w:val="auto"/>
          <w:kern w:val="0"/>
          <w:sz w:val="24"/>
          <w:szCs w:val="22"/>
        </w:rPr>
        <w:t>八、评审意见（</w:t>
      </w:r>
      <w:r>
        <w:rPr>
          <w:rFonts w:hint="eastAsia" w:ascii="宋体" w:hAnsi="宋体" w:eastAsia="宋体" w:cs="Times New Roman"/>
          <w:kern w:val="0"/>
          <w:sz w:val="24"/>
        </w:rPr>
        <w:t>非标采购方式或竞争性磋商采购方式采用书面推荐供应商参加采购活动的，还应当公告采购人和评审专家的推荐意见</w:t>
      </w:r>
      <w:r>
        <w:rPr>
          <w:rFonts w:hint="eastAsia" w:ascii="宋体" w:hAnsi="宋体" w:eastAsia="宋体" w:cs="Times New Roman"/>
          <w:color w:val="auto"/>
          <w:kern w:val="0"/>
          <w:sz w:val="24"/>
          <w:szCs w:val="22"/>
        </w:rPr>
        <w:t>）</w:t>
      </w:r>
    </w:p>
    <w:p>
      <w:pPr>
        <w:adjustRightInd w:val="0"/>
        <w:snapToGrid w:val="0"/>
        <w:spacing w:line="560" w:lineRule="exact"/>
        <w:ind w:firstLine="480" w:firstLineChars="200"/>
        <w:rPr>
          <w:rFonts w:ascii="宋体" w:hAnsi="宋体" w:eastAsia="宋体" w:cs="Times New Roman"/>
          <w:color w:val="auto"/>
          <w:kern w:val="0"/>
          <w:sz w:val="24"/>
          <w:szCs w:val="22"/>
        </w:rPr>
      </w:pPr>
      <w:r>
        <w:rPr>
          <w:rFonts w:hint="eastAsia" w:ascii="宋体" w:hAnsi="宋体" w:eastAsia="宋体" w:cs="Times New Roman"/>
          <w:color w:val="auto"/>
          <w:kern w:val="0"/>
          <w:sz w:val="24"/>
          <w:szCs w:val="22"/>
        </w:rPr>
        <w:t>九、本公告期限</w:t>
      </w:r>
      <w:r>
        <w:rPr>
          <w:rFonts w:ascii="宋体" w:hAnsi="宋体" w:eastAsia="宋体" w:cs="Times New Roman"/>
          <w:color w:val="auto"/>
          <w:kern w:val="0"/>
          <w:sz w:val="24"/>
          <w:szCs w:val="22"/>
        </w:rPr>
        <w:t>1</w:t>
      </w:r>
      <w:r>
        <w:rPr>
          <w:rFonts w:hint="eastAsia" w:ascii="宋体" w:hAnsi="宋体" w:eastAsia="宋体" w:cs="Times New Roman"/>
          <w:color w:val="auto"/>
          <w:kern w:val="0"/>
          <w:sz w:val="24"/>
          <w:szCs w:val="22"/>
        </w:rPr>
        <w:t>个工作日。</w:t>
      </w:r>
    </w:p>
    <w:p>
      <w:pPr>
        <w:adjustRightInd w:val="0"/>
        <w:snapToGrid w:val="0"/>
        <w:spacing w:line="560" w:lineRule="exact"/>
        <w:ind w:firstLine="480" w:firstLineChars="200"/>
        <w:rPr>
          <w:rFonts w:hint="eastAsia" w:ascii="宋体" w:hAnsi="宋体" w:eastAsia="宋体" w:cs="Times New Roman"/>
          <w:color w:val="auto"/>
          <w:kern w:val="0"/>
          <w:sz w:val="24"/>
          <w:szCs w:val="22"/>
        </w:rPr>
      </w:pPr>
      <w:r>
        <w:rPr>
          <w:rFonts w:hint="eastAsia" w:ascii="宋体" w:hAnsi="宋体" w:eastAsia="宋体" w:cs="Times New Roman"/>
          <w:color w:val="auto"/>
          <w:kern w:val="0"/>
          <w:sz w:val="24"/>
          <w:szCs w:val="22"/>
        </w:rPr>
        <w:t>十、联系事项</w:t>
      </w:r>
    </w:p>
    <w:p>
      <w:pPr>
        <w:widowControl/>
        <w:adjustRightInd w:val="0"/>
        <w:snapToGrid w:val="0"/>
        <w:spacing w:line="560" w:lineRule="exact"/>
        <w:ind w:firstLine="480" w:firstLineChars="200"/>
        <w:jc w:val="left"/>
        <w:rPr>
          <w:rFonts w:hint="eastAsia" w:ascii="宋体" w:hAnsi="宋体" w:eastAsia="宋体" w:cs="Times New Roman"/>
          <w:color w:val="auto"/>
          <w:kern w:val="0"/>
          <w:sz w:val="24"/>
          <w:szCs w:val="22"/>
          <w:lang w:val="en-US" w:eastAsia="zh-CN"/>
        </w:rPr>
      </w:pPr>
      <w:r>
        <w:rPr>
          <w:rFonts w:hint="eastAsia" w:ascii="宋体" w:hAnsi="宋体" w:eastAsia="宋体" w:cs="Times New Roman"/>
          <w:color w:val="auto"/>
          <w:kern w:val="0"/>
          <w:sz w:val="24"/>
          <w:szCs w:val="22"/>
        </w:rPr>
        <w:t>采购代理机构联系人：</w:t>
      </w:r>
      <w:r>
        <w:rPr>
          <w:rFonts w:hint="eastAsia" w:ascii="宋体" w:hAnsi="宋体" w:eastAsia="宋体" w:cs="Times New Roman"/>
          <w:color w:val="auto"/>
          <w:kern w:val="0"/>
          <w:sz w:val="24"/>
          <w:szCs w:val="22"/>
          <w:u w:val="single"/>
          <w:lang w:eastAsia="zh-CN"/>
        </w:rPr>
        <w:t>林</w:t>
      </w:r>
      <w:r>
        <w:rPr>
          <w:rFonts w:hint="eastAsia" w:ascii="宋体" w:hAnsi="宋体" w:eastAsia="宋体" w:cs="Times New Roman"/>
          <w:color w:val="auto"/>
          <w:kern w:val="0"/>
          <w:sz w:val="24"/>
          <w:szCs w:val="22"/>
          <w:u w:val="single"/>
        </w:rPr>
        <w:t>小姐</w:t>
      </w:r>
      <w:r>
        <w:rPr>
          <w:rFonts w:hint="eastAsia" w:ascii="宋体" w:hAnsi="宋体" w:eastAsia="宋体" w:cs="Times New Roman"/>
          <w:color w:val="auto"/>
          <w:kern w:val="0"/>
          <w:sz w:val="24"/>
          <w:szCs w:val="22"/>
        </w:rPr>
        <w:t>；</w:t>
      </w:r>
      <w:r>
        <w:rPr>
          <w:rFonts w:ascii="宋体" w:hAnsi="宋体" w:eastAsia="宋体" w:cs="Times New Roman"/>
          <w:color w:val="auto"/>
          <w:kern w:val="0"/>
          <w:sz w:val="24"/>
          <w:szCs w:val="22"/>
        </w:rPr>
        <w:t xml:space="preserve"> </w:t>
      </w:r>
      <w:r>
        <w:rPr>
          <w:rFonts w:hint="eastAsia" w:ascii="宋体" w:hAnsi="宋体" w:eastAsia="宋体" w:cs="Times New Roman"/>
          <w:color w:val="auto"/>
          <w:kern w:val="0"/>
          <w:sz w:val="24"/>
          <w:szCs w:val="22"/>
        </w:rPr>
        <w:t>联系电话：</w:t>
      </w:r>
      <w:r>
        <w:rPr>
          <w:rFonts w:hint="eastAsia" w:ascii="宋体" w:hAnsi="宋体" w:eastAsia="宋体" w:cs="Times New Roman"/>
          <w:color w:val="auto"/>
          <w:kern w:val="0"/>
          <w:sz w:val="24"/>
          <w:szCs w:val="22"/>
          <w:u w:val="single"/>
        </w:rPr>
        <w:t>020-8520040</w:t>
      </w:r>
      <w:r>
        <w:rPr>
          <w:rFonts w:hint="eastAsia" w:ascii="宋体" w:hAnsi="宋体" w:eastAsia="宋体" w:cs="Times New Roman"/>
          <w:color w:val="auto"/>
          <w:kern w:val="0"/>
          <w:sz w:val="24"/>
          <w:szCs w:val="22"/>
          <w:u w:val="single"/>
          <w:lang w:val="en-US" w:eastAsia="zh-CN"/>
        </w:rPr>
        <w:t>2</w:t>
      </w:r>
    </w:p>
    <w:p>
      <w:pPr>
        <w:adjustRightInd w:val="0"/>
        <w:snapToGrid w:val="0"/>
        <w:spacing w:line="560" w:lineRule="exact"/>
        <w:ind w:firstLine="480" w:firstLineChars="200"/>
        <w:rPr>
          <w:rFonts w:ascii="宋体" w:hAnsi="宋体" w:eastAsia="宋体" w:cs="Times New Roman"/>
          <w:color w:val="auto"/>
          <w:kern w:val="0"/>
          <w:sz w:val="22"/>
          <w:szCs w:val="22"/>
        </w:rPr>
      </w:pPr>
      <w:r>
        <w:rPr>
          <w:rFonts w:hint="eastAsia" w:ascii="宋体" w:hAnsi="宋体" w:eastAsia="宋体" w:cs="Times New Roman"/>
          <w:color w:val="auto"/>
          <w:kern w:val="0"/>
          <w:sz w:val="24"/>
          <w:szCs w:val="22"/>
        </w:rPr>
        <w:t>各有关当事人对中标、成交结果有异议的，可以在中标、成交公告发布之日起</w:t>
      </w:r>
      <w:r>
        <w:rPr>
          <w:rFonts w:ascii="宋体" w:hAnsi="宋体" w:eastAsia="宋体" w:cs="Times New Roman"/>
          <w:color w:val="auto"/>
          <w:kern w:val="0"/>
          <w:sz w:val="24"/>
          <w:szCs w:val="22"/>
        </w:rPr>
        <w:t>7</w:t>
      </w:r>
      <w:r>
        <w:rPr>
          <w:rFonts w:hint="eastAsia" w:ascii="宋体" w:hAnsi="宋体" w:eastAsia="宋体" w:cs="Times New Roman"/>
          <w:color w:val="auto"/>
          <w:kern w:val="0"/>
          <w:sz w:val="24"/>
          <w:szCs w:val="22"/>
        </w:rPr>
        <w:t>个工作日内以书面形式向（政府采购代理机构）（或采购人）提出质疑，逾期将依法不予受理。</w:t>
      </w:r>
    </w:p>
    <w:p>
      <w:pPr>
        <w:adjustRightInd w:val="0"/>
        <w:snapToGrid w:val="0"/>
        <w:spacing w:line="560" w:lineRule="exact"/>
        <w:rPr>
          <w:rFonts w:ascii="宋体" w:hAnsi="宋体" w:eastAsia="宋体" w:cs="Times New Roman"/>
          <w:color w:val="auto"/>
          <w:kern w:val="0"/>
          <w:sz w:val="22"/>
          <w:szCs w:val="22"/>
        </w:rPr>
      </w:pPr>
    </w:p>
    <w:p>
      <w:pPr>
        <w:widowControl/>
        <w:ind w:right="84" w:firstLine="3119"/>
        <w:jc w:val="right"/>
        <w:rPr>
          <w:rFonts w:ascii="宋体" w:hAnsi="宋体" w:eastAsia="宋体" w:cs="Times New Roman"/>
          <w:color w:val="auto"/>
          <w:kern w:val="0"/>
          <w:sz w:val="24"/>
          <w:szCs w:val="22"/>
        </w:rPr>
      </w:pPr>
      <w:r>
        <w:rPr>
          <w:rFonts w:hint="eastAsia" w:ascii="宋体" w:hAnsi="宋体" w:eastAsia="宋体" w:cs="Times New Roman"/>
          <w:color w:val="auto"/>
          <w:kern w:val="0"/>
          <w:sz w:val="24"/>
          <w:szCs w:val="22"/>
        </w:rPr>
        <w:t>发布人：广东</w:t>
      </w:r>
      <w:r>
        <w:rPr>
          <w:rFonts w:hint="eastAsia" w:ascii="宋体" w:hAnsi="宋体" w:eastAsia="宋体" w:cs="Times New Roman"/>
          <w:color w:val="auto"/>
          <w:kern w:val="0"/>
          <w:sz w:val="24"/>
          <w:szCs w:val="22"/>
          <w:lang w:eastAsia="zh-CN"/>
        </w:rPr>
        <w:t>国利</w:t>
      </w:r>
      <w:r>
        <w:rPr>
          <w:rFonts w:hint="eastAsia" w:ascii="宋体" w:hAnsi="宋体" w:eastAsia="宋体" w:cs="Times New Roman"/>
          <w:color w:val="auto"/>
          <w:kern w:val="0"/>
          <w:sz w:val="24"/>
          <w:szCs w:val="22"/>
        </w:rPr>
        <w:t>招标代理有限公司</w:t>
      </w:r>
    </w:p>
    <w:p>
      <w:pPr>
        <w:adjustRightInd w:val="0"/>
        <w:snapToGrid w:val="0"/>
        <w:spacing w:line="560" w:lineRule="exact"/>
        <w:ind w:left="6872" w:leftChars="1125" w:hanging="4509" w:hangingChars="1879"/>
        <w:rPr>
          <w:rFonts w:ascii="宋体" w:hAnsi="宋体" w:eastAsia="宋体" w:cs="Times New Roman"/>
          <w:sz w:val="32"/>
        </w:rPr>
      </w:pPr>
      <w:r>
        <w:rPr>
          <w:rFonts w:ascii="宋体" w:hAnsi="宋体" w:eastAsia="宋体" w:cs="Times New Roman"/>
          <w:color w:val="auto"/>
          <w:kern w:val="0"/>
          <w:sz w:val="24"/>
          <w:szCs w:val="22"/>
        </w:rPr>
        <w:t xml:space="preserve">   </w:t>
      </w:r>
      <w:r>
        <w:rPr>
          <w:rFonts w:hint="eastAsia" w:ascii="宋体" w:hAnsi="宋体" w:eastAsia="宋体" w:cs="Times New Roman"/>
          <w:color w:val="auto"/>
          <w:kern w:val="0"/>
          <w:sz w:val="24"/>
          <w:szCs w:val="22"/>
          <w:lang w:val="en-US" w:eastAsia="zh-CN"/>
        </w:rPr>
        <w:t xml:space="preserve">                    </w:t>
      </w:r>
      <w:r>
        <w:rPr>
          <w:rFonts w:hint="eastAsia" w:ascii="宋体" w:hAnsi="宋体" w:eastAsia="宋体" w:cs="Times New Roman"/>
          <w:color w:val="auto"/>
          <w:kern w:val="0"/>
          <w:sz w:val="24"/>
          <w:szCs w:val="22"/>
        </w:rPr>
        <w:t>发布时间：</w:t>
      </w:r>
      <w:r>
        <w:rPr>
          <w:rFonts w:ascii="宋体" w:hAnsi="宋体" w:eastAsia="宋体" w:cs="Times New Roman"/>
          <w:color w:val="auto"/>
          <w:kern w:val="0"/>
          <w:sz w:val="24"/>
          <w:szCs w:val="22"/>
        </w:rPr>
        <w:t>201</w:t>
      </w:r>
      <w:r>
        <w:rPr>
          <w:rFonts w:hint="eastAsia" w:ascii="宋体" w:hAnsi="宋体" w:eastAsia="宋体" w:cs="Times New Roman"/>
          <w:color w:val="auto"/>
          <w:kern w:val="0"/>
          <w:sz w:val="24"/>
          <w:szCs w:val="22"/>
          <w:lang w:val="en-US" w:eastAsia="zh-CN"/>
        </w:rPr>
        <w:t>9</w:t>
      </w:r>
      <w:r>
        <w:rPr>
          <w:rFonts w:hint="eastAsia" w:ascii="宋体" w:hAnsi="宋体" w:eastAsia="宋体" w:cs="Times New Roman"/>
          <w:color w:val="auto"/>
          <w:kern w:val="0"/>
          <w:sz w:val="24"/>
          <w:szCs w:val="22"/>
        </w:rPr>
        <w:t>年</w:t>
      </w:r>
      <w:r>
        <w:rPr>
          <w:rFonts w:hint="eastAsia" w:ascii="宋体" w:hAnsi="宋体" w:eastAsia="宋体" w:cs="Times New Roman"/>
          <w:color w:val="auto"/>
          <w:kern w:val="0"/>
          <w:sz w:val="24"/>
          <w:szCs w:val="22"/>
          <w:lang w:val="en-US" w:eastAsia="zh-CN"/>
        </w:rPr>
        <w:t xml:space="preserve">12月31日                 </w:t>
      </w:r>
      <w:r>
        <w:rPr>
          <w:rFonts w:hint="eastAsia" w:ascii="宋体" w:hAnsi="宋体" w:eastAsia="宋体" w:cs="Times New Roman"/>
          <w:kern w:val="0"/>
          <w:sz w:val="24"/>
          <w:szCs w:val="22"/>
          <w:lang w:val="en-US" w:eastAsia="zh-CN"/>
        </w:rPr>
        <w:t xml:space="preserve">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6080A"/>
    <w:multiLevelType w:val="singleLevel"/>
    <w:tmpl w:val="597608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00B6F"/>
    <w:rsid w:val="112403DC"/>
    <w:rsid w:val="64B0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2019-12-31T01:22:00Z</dcterms:created>
  <dc:creator>袁@*然</dc:creator>
  <cp:lastModifiedBy>袁@*然</cp:lastModifiedBy>
  <dcterms:modified xsi:type="dcterms:W3CDTF">2019-12-31T01:33:31Z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