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b/>
          <w:color w:val="auto"/>
          <w:spacing w:val="-20"/>
          <w:sz w:val="28"/>
          <w:szCs w:val="28"/>
        </w:rPr>
      </w:pPr>
      <w:r>
        <w:rPr>
          <w:rFonts w:hint="eastAsia"/>
          <w:b/>
          <w:color w:val="auto"/>
          <w:spacing w:val="-20"/>
          <w:sz w:val="28"/>
          <w:szCs w:val="28"/>
          <w:lang w:eastAsia="zh-CN"/>
        </w:rPr>
        <w:t>南方医科大学口腔医院（广东省口腔医院）采购盘福院区A座二楼空调、通风设备及安装项目</w:t>
      </w:r>
      <w:r>
        <w:rPr>
          <w:b/>
          <w:color w:val="auto"/>
          <w:spacing w:val="-20"/>
          <w:sz w:val="28"/>
          <w:szCs w:val="28"/>
        </w:rPr>
        <w:t>公开招标公告</w:t>
      </w:r>
    </w:p>
    <w:p>
      <w:pPr>
        <w:pStyle w:val="2"/>
        <w:rPr>
          <w:color w:val="auto"/>
        </w:rPr>
      </w:pPr>
    </w:p>
    <w:p>
      <w:pPr>
        <w:spacing w:line="360" w:lineRule="auto"/>
        <w:ind w:firstLine="420" w:firstLineChars="200"/>
        <w:rPr>
          <w:color w:val="auto"/>
        </w:rPr>
      </w:pPr>
      <w:r>
        <w:rPr>
          <w:rFonts w:hint="eastAsia"/>
          <w:color w:val="auto"/>
          <w:u w:val="single"/>
        </w:rPr>
        <w:t>广东华鑫招标采购有限公司</w:t>
      </w:r>
      <w:r>
        <w:rPr>
          <w:rFonts w:hint="eastAsia"/>
          <w:color w:val="auto"/>
        </w:rPr>
        <w:t>受</w:t>
      </w:r>
      <w:r>
        <w:rPr>
          <w:rFonts w:hint="eastAsia"/>
          <w:color w:val="auto"/>
          <w:u w:val="single"/>
          <w:lang w:eastAsia="zh-CN"/>
        </w:rPr>
        <w:t>南方医科大学口腔医院（广东省口腔医院）</w:t>
      </w:r>
      <w:r>
        <w:rPr>
          <w:rFonts w:hint="eastAsia"/>
          <w:color w:val="auto"/>
        </w:rPr>
        <w:t>的委托，对</w:t>
      </w:r>
      <w:r>
        <w:rPr>
          <w:rFonts w:hint="eastAsia"/>
          <w:color w:val="auto"/>
          <w:u w:val="single"/>
          <w:lang w:eastAsia="zh-CN"/>
        </w:rPr>
        <w:t>南方医科大学口腔医院（广东省口腔医院）采购盘福院区A座二楼空调、通风设备及安装项目</w:t>
      </w:r>
      <w:r>
        <w:rPr>
          <w:rFonts w:hint="eastAsia"/>
          <w:color w:val="auto"/>
        </w:rPr>
        <w:t>进行</w:t>
      </w:r>
      <w:r>
        <w:rPr>
          <w:rFonts w:hint="eastAsia"/>
          <w:color w:val="auto"/>
          <w:u w:val="single"/>
        </w:rPr>
        <w:t>公开招标</w:t>
      </w:r>
      <w:r>
        <w:rPr>
          <w:rFonts w:hint="eastAsia"/>
          <w:color w:val="auto"/>
        </w:rPr>
        <w:t>采购，欢迎符合资格条件的供应商投标。</w:t>
      </w:r>
    </w:p>
    <w:p>
      <w:pPr>
        <w:numPr>
          <w:ilvl w:val="0"/>
          <w:numId w:val="1"/>
        </w:numPr>
        <w:spacing w:line="360" w:lineRule="auto"/>
        <w:rPr>
          <w:color w:val="auto"/>
        </w:rPr>
      </w:pPr>
      <w:r>
        <w:rPr>
          <w:rFonts w:hint="eastAsia"/>
          <w:color w:val="auto"/>
        </w:rPr>
        <w:t>采购项目编号：</w:t>
      </w:r>
      <w:r>
        <w:rPr>
          <w:rFonts w:hint="eastAsia"/>
          <w:color w:val="auto"/>
          <w:lang w:eastAsia="zh-CN"/>
        </w:rPr>
        <w:t>HX26590120YLZC</w:t>
      </w:r>
    </w:p>
    <w:p>
      <w:pPr>
        <w:numPr>
          <w:ilvl w:val="0"/>
          <w:numId w:val="1"/>
        </w:numPr>
        <w:spacing w:line="360" w:lineRule="auto"/>
        <w:rPr>
          <w:color w:val="auto"/>
        </w:rPr>
      </w:pPr>
      <w:r>
        <w:rPr>
          <w:rFonts w:hint="eastAsia"/>
          <w:color w:val="auto"/>
        </w:rPr>
        <w:t>采购项目名称：</w:t>
      </w:r>
      <w:r>
        <w:rPr>
          <w:rFonts w:hint="eastAsia"/>
          <w:color w:val="auto"/>
          <w:lang w:eastAsia="zh-CN"/>
        </w:rPr>
        <w:t>南方医科大学口腔医院（广东省口腔医院）采购盘福院区A座二楼空调、通风设备及安装项目</w:t>
      </w:r>
    </w:p>
    <w:p>
      <w:pPr>
        <w:spacing w:line="360" w:lineRule="auto"/>
        <w:rPr>
          <w:color w:val="auto"/>
        </w:rPr>
      </w:pPr>
      <w:r>
        <w:rPr>
          <w:rFonts w:hint="eastAsia"/>
          <w:color w:val="auto"/>
        </w:rPr>
        <w:t>三、采购预算：人民币75万元</w:t>
      </w:r>
    </w:p>
    <w:p>
      <w:pPr>
        <w:spacing w:line="360" w:lineRule="auto"/>
        <w:rPr>
          <w:rFonts w:hint="eastAsia"/>
          <w:color w:val="auto"/>
          <w:lang w:eastAsia="zh-CN"/>
        </w:rPr>
      </w:pPr>
      <w:r>
        <w:rPr>
          <w:rFonts w:hint="eastAsia"/>
          <w:color w:val="auto"/>
        </w:rPr>
        <w:t>四、项目简介：南方医科大学口腔医院（广东省口腔医院）（下称招标人）盘福院区将A座二楼装修改造为口腔医疗门诊使用，需要采购一批变频多联空调、通风设备，并提供安装服务</w:t>
      </w:r>
    </w:p>
    <w:p>
      <w:pPr>
        <w:spacing w:line="360" w:lineRule="auto"/>
        <w:rPr>
          <w:color w:val="auto"/>
        </w:rPr>
      </w:pPr>
      <w:r>
        <w:rPr>
          <w:rFonts w:hint="eastAsia"/>
          <w:color w:val="auto"/>
        </w:rPr>
        <w:t>五、项目内容及需求：</w:t>
      </w:r>
      <w:r>
        <w:rPr>
          <w:color w:val="auto"/>
        </w:rPr>
        <w:t>(</w:t>
      </w:r>
      <w:r>
        <w:rPr>
          <w:rFonts w:hint="eastAsia"/>
          <w:color w:val="auto"/>
        </w:rPr>
        <w:t>采购项目技术规格、参数及要求，</w:t>
      </w:r>
      <w:r>
        <w:rPr>
          <w:color w:val="auto"/>
        </w:rPr>
        <w:t>需要落实的政府采购政策)</w:t>
      </w:r>
    </w:p>
    <w:p>
      <w:pPr>
        <w:spacing w:line="360" w:lineRule="auto"/>
        <w:rPr>
          <w:rFonts w:hint="eastAsia"/>
          <w:color w:val="auto"/>
        </w:rPr>
      </w:pPr>
      <w:r>
        <w:rPr>
          <w:rFonts w:hint="eastAsia"/>
          <w:color w:val="auto"/>
        </w:rPr>
        <w:t>1. 招标采购内容</w:t>
      </w:r>
    </w:p>
    <w:tbl>
      <w:tblPr>
        <w:tblStyle w:val="6"/>
        <w:tblW w:w="73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030"/>
        <w:gridCol w:w="885"/>
        <w:gridCol w:w="960"/>
        <w:gridCol w:w="18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4" w:type="dxa"/>
            <w:tcBorders>
              <w:top w:val="single" w:color="auto" w:sz="12" w:space="0"/>
            </w:tcBorders>
            <w:shd w:val="clear" w:color="auto" w:fill="C0C0C0"/>
            <w:vAlign w:val="center"/>
          </w:tcPr>
          <w:p>
            <w:pPr>
              <w:spacing w:line="360" w:lineRule="auto"/>
              <w:jc w:val="center"/>
              <w:rPr>
                <w:rFonts w:hint="eastAsia"/>
                <w:color w:val="auto"/>
              </w:rPr>
            </w:pPr>
            <w:r>
              <w:rPr>
                <w:rFonts w:hint="eastAsia"/>
                <w:color w:val="auto"/>
              </w:rPr>
              <w:t>包号</w:t>
            </w:r>
          </w:p>
        </w:tc>
        <w:tc>
          <w:tcPr>
            <w:tcW w:w="3030" w:type="dxa"/>
            <w:tcBorders>
              <w:top w:val="single" w:color="auto" w:sz="12" w:space="0"/>
            </w:tcBorders>
            <w:shd w:val="clear" w:color="auto" w:fill="C0C0C0"/>
            <w:vAlign w:val="center"/>
          </w:tcPr>
          <w:p>
            <w:pPr>
              <w:spacing w:line="360" w:lineRule="auto"/>
              <w:jc w:val="center"/>
              <w:rPr>
                <w:rFonts w:hint="eastAsia"/>
                <w:color w:val="auto"/>
              </w:rPr>
            </w:pPr>
            <w:r>
              <w:rPr>
                <w:rFonts w:hint="eastAsia"/>
                <w:color w:val="auto"/>
              </w:rPr>
              <w:t>包组内容</w:t>
            </w:r>
          </w:p>
        </w:tc>
        <w:tc>
          <w:tcPr>
            <w:tcW w:w="885" w:type="dxa"/>
            <w:tcBorders>
              <w:top w:val="single" w:color="auto" w:sz="12" w:space="0"/>
            </w:tcBorders>
            <w:shd w:val="clear" w:color="auto" w:fill="C0C0C0"/>
            <w:vAlign w:val="center"/>
          </w:tcPr>
          <w:p>
            <w:pPr>
              <w:spacing w:line="360" w:lineRule="auto"/>
              <w:jc w:val="center"/>
              <w:rPr>
                <w:rFonts w:hint="eastAsia"/>
                <w:color w:val="auto"/>
              </w:rPr>
            </w:pPr>
            <w:r>
              <w:rPr>
                <w:rFonts w:hint="eastAsia"/>
                <w:color w:val="auto"/>
              </w:rPr>
              <w:t>单位</w:t>
            </w:r>
          </w:p>
        </w:tc>
        <w:tc>
          <w:tcPr>
            <w:tcW w:w="960" w:type="dxa"/>
            <w:tcBorders>
              <w:top w:val="single" w:color="auto" w:sz="12" w:space="0"/>
            </w:tcBorders>
            <w:shd w:val="clear" w:color="auto" w:fill="C0C0C0"/>
            <w:vAlign w:val="center"/>
          </w:tcPr>
          <w:p>
            <w:pPr>
              <w:spacing w:line="360" w:lineRule="auto"/>
              <w:jc w:val="center"/>
              <w:rPr>
                <w:rFonts w:hint="eastAsia"/>
                <w:color w:val="auto"/>
              </w:rPr>
            </w:pPr>
            <w:r>
              <w:rPr>
                <w:rFonts w:hint="eastAsia"/>
                <w:color w:val="auto"/>
              </w:rPr>
              <w:t>数量</w:t>
            </w:r>
          </w:p>
        </w:tc>
        <w:tc>
          <w:tcPr>
            <w:tcW w:w="1808" w:type="dxa"/>
            <w:tcBorders>
              <w:top w:val="single" w:color="auto" w:sz="12" w:space="0"/>
            </w:tcBorders>
            <w:shd w:val="clear" w:color="auto" w:fill="C0C0C0"/>
            <w:vAlign w:val="center"/>
          </w:tcPr>
          <w:p>
            <w:pPr>
              <w:spacing w:line="360" w:lineRule="auto"/>
              <w:jc w:val="center"/>
              <w:rPr>
                <w:rFonts w:hint="eastAsia"/>
                <w:color w:val="auto"/>
              </w:rPr>
            </w:pPr>
            <w:r>
              <w:rPr>
                <w:rFonts w:hint="eastAsia"/>
                <w:color w:val="auto"/>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4" w:type="dxa"/>
            <w:vAlign w:val="center"/>
          </w:tcPr>
          <w:p>
            <w:pPr>
              <w:spacing w:line="360" w:lineRule="auto"/>
              <w:jc w:val="center"/>
              <w:rPr>
                <w:rFonts w:hint="eastAsia"/>
                <w:color w:val="auto"/>
              </w:rPr>
            </w:pPr>
            <w:r>
              <w:rPr>
                <w:rFonts w:hint="eastAsia"/>
                <w:color w:val="auto"/>
              </w:rPr>
              <w:t>包一</w:t>
            </w:r>
          </w:p>
        </w:tc>
        <w:tc>
          <w:tcPr>
            <w:tcW w:w="3030" w:type="dxa"/>
            <w:vAlign w:val="center"/>
          </w:tcPr>
          <w:p>
            <w:pPr>
              <w:spacing w:line="360" w:lineRule="auto"/>
              <w:jc w:val="center"/>
              <w:rPr>
                <w:rFonts w:hint="eastAsia"/>
                <w:color w:val="auto"/>
              </w:rPr>
            </w:pPr>
            <w:r>
              <w:rPr>
                <w:rFonts w:hint="eastAsia"/>
                <w:color w:val="auto"/>
              </w:rPr>
              <w:t>空调、通风设备及安装项目</w:t>
            </w:r>
          </w:p>
        </w:tc>
        <w:tc>
          <w:tcPr>
            <w:tcW w:w="885" w:type="dxa"/>
            <w:vAlign w:val="center"/>
          </w:tcPr>
          <w:p>
            <w:pPr>
              <w:spacing w:line="360" w:lineRule="auto"/>
              <w:jc w:val="center"/>
              <w:rPr>
                <w:rFonts w:hint="eastAsia"/>
                <w:color w:val="auto"/>
              </w:rPr>
            </w:pPr>
            <w:r>
              <w:rPr>
                <w:rFonts w:hint="eastAsia"/>
                <w:color w:val="auto"/>
              </w:rPr>
              <w:t>批</w:t>
            </w:r>
          </w:p>
        </w:tc>
        <w:tc>
          <w:tcPr>
            <w:tcW w:w="960" w:type="dxa"/>
            <w:vAlign w:val="center"/>
          </w:tcPr>
          <w:p>
            <w:pPr>
              <w:spacing w:line="360" w:lineRule="auto"/>
              <w:jc w:val="center"/>
              <w:rPr>
                <w:rFonts w:hint="eastAsia"/>
                <w:color w:val="auto"/>
              </w:rPr>
            </w:pPr>
            <w:r>
              <w:rPr>
                <w:rFonts w:hint="eastAsia"/>
                <w:color w:val="auto"/>
              </w:rPr>
              <w:t>1</w:t>
            </w:r>
          </w:p>
        </w:tc>
        <w:tc>
          <w:tcPr>
            <w:tcW w:w="1808" w:type="dxa"/>
            <w:vAlign w:val="center"/>
          </w:tcPr>
          <w:p>
            <w:pPr>
              <w:spacing w:line="360" w:lineRule="auto"/>
              <w:jc w:val="center"/>
              <w:rPr>
                <w:rFonts w:hint="eastAsia"/>
                <w:color w:val="auto"/>
              </w:rPr>
            </w:pPr>
            <w:r>
              <w:rPr>
                <w:rFonts w:hint="eastAsia"/>
                <w:color w:val="auto"/>
              </w:rPr>
              <w:t>人民币75万元</w:t>
            </w:r>
          </w:p>
        </w:tc>
      </w:tr>
    </w:tbl>
    <w:p>
      <w:pPr>
        <w:spacing w:line="360" w:lineRule="auto"/>
        <w:rPr>
          <w:rFonts w:hint="eastAsia"/>
          <w:color w:val="auto"/>
        </w:rPr>
      </w:pPr>
    </w:p>
    <w:p>
      <w:pPr>
        <w:spacing w:line="360" w:lineRule="auto"/>
        <w:rPr>
          <w:rFonts w:hint="eastAsia"/>
          <w:color w:val="auto"/>
        </w:rPr>
      </w:pPr>
      <w:r>
        <w:rPr>
          <w:rFonts w:hint="eastAsia"/>
          <w:color w:val="auto"/>
        </w:rPr>
        <w:t>2.投标人须对本项目为单位的货物及相应服务进行整体投标，任何只对其中一部分内容进行的投标都被视为无效投标。</w:t>
      </w:r>
    </w:p>
    <w:p>
      <w:pPr>
        <w:spacing w:line="360" w:lineRule="auto"/>
        <w:rPr>
          <w:rFonts w:hint="eastAsia"/>
          <w:color w:val="auto"/>
        </w:rPr>
      </w:pPr>
      <w:r>
        <w:rPr>
          <w:rFonts w:hint="eastAsia"/>
          <w:color w:val="auto"/>
        </w:rPr>
        <w:t>3. 具体要求：详见招标文件《采购需求》。</w:t>
      </w:r>
    </w:p>
    <w:p>
      <w:pPr>
        <w:spacing w:line="360" w:lineRule="auto"/>
        <w:rPr>
          <w:rFonts w:hint="eastAsia"/>
          <w:color w:val="auto"/>
        </w:rPr>
      </w:pPr>
      <w:r>
        <w:rPr>
          <w:rFonts w:hint="eastAsia"/>
          <w:color w:val="auto"/>
        </w:rPr>
        <w:t>4. 项目实施时间：工期由招标人发出开工令之日起计算，至验收合格之日为止，总工期80日历天。欢迎投标人根据A座二楼装修改造工程的施工进度对工期进行优化。</w:t>
      </w:r>
    </w:p>
    <w:p>
      <w:pPr>
        <w:spacing w:line="360" w:lineRule="auto"/>
        <w:rPr>
          <w:rFonts w:hint="eastAsia"/>
          <w:color w:val="auto"/>
        </w:rPr>
      </w:pPr>
      <w:r>
        <w:rPr>
          <w:rFonts w:hint="eastAsia"/>
          <w:color w:val="auto"/>
        </w:rPr>
        <w:t>5. 项目地点：广州市越秀区盘福路13-35号A座二楼。</w:t>
      </w:r>
    </w:p>
    <w:p>
      <w:pPr>
        <w:spacing w:line="360" w:lineRule="auto"/>
        <w:rPr>
          <w:rFonts w:hint="eastAsia"/>
          <w:color w:val="auto"/>
        </w:rPr>
      </w:pPr>
    </w:p>
    <w:p>
      <w:pPr>
        <w:spacing w:line="360" w:lineRule="auto"/>
        <w:rPr>
          <w:color w:val="auto"/>
        </w:rPr>
      </w:pPr>
      <w:r>
        <w:rPr>
          <w:rFonts w:hint="eastAsia"/>
          <w:color w:val="auto"/>
        </w:rPr>
        <w:t>六、供应商资格：</w:t>
      </w:r>
    </w:p>
    <w:p>
      <w:pPr>
        <w:spacing w:line="360" w:lineRule="auto"/>
        <w:rPr>
          <w:rFonts w:hint="eastAsia"/>
          <w:color w:val="auto"/>
          <w:lang w:val="en-US" w:eastAsia="zh-CN"/>
        </w:rPr>
      </w:pPr>
      <w:r>
        <w:rPr>
          <w:rFonts w:hint="eastAsia"/>
          <w:color w:val="auto"/>
          <w:lang w:val="en-US" w:eastAsia="zh-CN"/>
        </w:rPr>
        <w:t>1. 投标人必须具有独立法人资格，能独立承担民事法律责任，并在中华人民共和国境内注册的法人机构（须提供年检有效期内的企业法人证书和营业执照或三证合一复印件）；</w:t>
      </w:r>
    </w:p>
    <w:p>
      <w:pPr>
        <w:spacing w:line="360" w:lineRule="auto"/>
        <w:rPr>
          <w:rFonts w:hint="eastAsia"/>
          <w:color w:val="auto"/>
          <w:lang w:val="en-US" w:eastAsia="zh-CN"/>
        </w:rPr>
      </w:pPr>
      <w:r>
        <w:rPr>
          <w:rFonts w:hint="eastAsia"/>
          <w:color w:val="auto"/>
          <w:lang w:val="en-US" w:eastAsia="zh-CN"/>
        </w:rPr>
        <w:t>2. 投标人必须具有机电安装总承包三级（或以上）资质；或工商行政许可经营范围具有空调设备销售及空调设备安装服务等项目；</w:t>
      </w:r>
    </w:p>
    <w:p>
      <w:pPr>
        <w:spacing w:line="360" w:lineRule="auto"/>
        <w:rPr>
          <w:rFonts w:hint="eastAsia"/>
          <w:color w:val="auto"/>
          <w:lang w:val="en-US" w:eastAsia="zh-CN"/>
        </w:rPr>
      </w:pPr>
      <w:r>
        <w:rPr>
          <w:rFonts w:hint="eastAsia"/>
          <w:color w:val="auto"/>
          <w:lang w:val="en-US" w:eastAsia="zh-CN"/>
        </w:rPr>
        <w:t>3.投标人所投标产品的技术性能必须要达到中国有关安全、环保的国家技术标准；</w:t>
      </w:r>
    </w:p>
    <w:p>
      <w:pPr>
        <w:spacing w:line="360" w:lineRule="auto"/>
        <w:rPr>
          <w:rFonts w:hint="eastAsia"/>
          <w:color w:val="auto"/>
          <w:lang w:val="en-US" w:eastAsia="zh-CN"/>
        </w:rPr>
      </w:pPr>
      <w:r>
        <w:rPr>
          <w:rFonts w:hint="eastAsia"/>
          <w:color w:val="auto"/>
          <w:lang w:val="en-US" w:eastAsia="zh-CN"/>
        </w:rPr>
        <w:t>4.投标人设备安装调试施工必须由有生产厂商授权的空调设备专业安装公司或具有机电安装总承包叁级及以上建筑企业资质的公司实施（提供承诺书）；</w:t>
      </w:r>
    </w:p>
    <w:p>
      <w:pPr>
        <w:spacing w:line="360" w:lineRule="auto"/>
        <w:rPr>
          <w:rFonts w:hint="eastAsia"/>
          <w:color w:val="auto"/>
          <w:lang w:val="en-US" w:eastAsia="zh-CN"/>
        </w:rPr>
      </w:pPr>
      <w:r>
        <w:rPr>
          <w:rFonts w:hint="eastAsia"/>
          <w:color w:val="auto"/>
          <w:lang w:val="en-US" w:eastAsia="zh-CN"/>
        </w:rPr>
        <w:t>5.投标人必须具有履行合同所必需的设备和专业技术能力；</w:t>
      </w:r>
    </w:p>
    <w:p>
      <w:pPr>
        <w:spacing w:line="360" w:lineRule="auto"/>
        <w:rPr>
          <w:rFonts w:hint="eastAsia"/>
          <w:color w:val="auto"/>
          <w:lang w:val="en-US" w:eastAsia="zh-CN"/>
        </w:rPr>
      </w:pPr>
      <w:r>
        <w:rPr>
          <w:rFonts w:hint="eastAsia"/>
          <w:color w:val="auto"/>
          <w:lang w:val="en-US" w:eastAsia="zh-CN"/>
        </w:rPr>
        <w:t>6、信用要求：</w:t>
      </w:r>
    </w:p>
    <w:p>
      <w:pPr>
        <w:spacing w:line="360" w:lineRule="auto"/>
        <w:rPr>
          <w:rFonts w:hint="eastAsia"/>
          <w:color w:val="auto"/>
          <w:lang w:val="en-US" w:eastAsia="zh-CN"/>
        </w:rPr>
      </w:pPr>
      <w:r>
        <w:rPr>
          <w:rFonts w:hint="eastAsia"/>
          <w:color w:val="auto"/>
          <w:lang w:val="en-US" w:eastAsia="zh-CN"/>
        </w:rPr>
        <w:t>6.1投标人或投标联合体成员不得被列入失信被执行人、重大税收违法案件当事人名单及政府采购严重违法失信行为记录名单。</w:t>
      </w:r>
    </w:p>
    <w:p>
      <w:pPr>
        <w:spacing w:line="360" w:lineRule="auto"/>
        <w:rPr>
          <w:rFonts w:hint="eastAsia"/>
          <w:color w:val="auto"/>
          <w:lang w:val="en-US" w:eastAsia="zh-CN"/>
        </w:rPr>
      </w:pPr>
      <w:r>
        <w:rPr>
          <w:rFonts w:hint="eastAsia"/>
          <w:color w:val="auto"/>
          <w:lang w:val="en-US" w:eastAsia="zh-CN"/>
        </w:rPr>
        <w:t>6.2投标方需提供通过“信用中国”网站（www.creditchina.gov.cn）、中国政府采购网（www.ccgp.gov.cn）等渠道查询的信用信息查询记录网络截图件并加盖投标方公章。</w:t>
      </w:r>
    </w:p>
    <w:p>
      <w:pPr>
        <w:spacing w:line="360" w:lineRule="auto"/>
        <w:rPr>
          <w:rFonts w:hint="eastAsia"/>
          <w:color w:val="auto"/>
          <w:lang w:val="en-US" w:eastAsia="zh-CN"/>
        </w:rPr>
      </w:pPr>
      <w:r>
        <w:rPr>
          <w:rFonts w:hint="eastAsia"/>
          <w:color w:val="auto"/>
          <w:lang w:val="en-US" w:eastAsia="zh-CN"/>
        </w:rPr>
        <w:t>7.投标方应具备《中华人民共和国政府采购法》第二十二条资格条件；</w:t>
      </w:r>
    </w:p>
    <w:p>
      <w:pPr>
        <w:spacing w:line="360" w:lineRule="auto"/>
        <w:rPr>
          <w:rFonts w:hint="eastAsia"/>
          <w:color w:val="auto"/>
          <w:lang w:val="en-US" w:eastAsia="zh-CN"/>
        </w:rPr>
      </w:pPr>
      <w:r>
        <w:rPr>
          <w:rFonts w:hint="eastAsia"/>
          <w:color w:val="auto"/>
          <w:lang w:val="en-US" w:eastAsia="zh-CN"/>
        </w:rPr>
        <w:t>7.1 投标人必须具有良好的商业信誉和健全的财务会计制度且有依法缴纳税收和社会保障资金的良好记录；（提供由第三方机构出具体现财务状况的证明文件或银行出具的资信证明或专业担保机构出具的政府采购投标担保函；近期依法缴纳税收和社会保障资金的相关材料复印件）</w:t>
      </w:r>
    </w:p>
    <w:p>
      <w:pPr>
        <w:spacing w:line="360" w:lineRule="auto"/>
        <w:rPr>
          <w:rFonts w:hint="eastAsia"/>
          <w:color w:val="auto"/>
          <w:lang w:val="en-US" w:eastAsia="zh-CN"/>
        </w:rPr>
      </w:pPr>
      <w:r>
        <w:rPr>
          <w:rFonts w:hint="eastAsia"/>
          <w:color w:val="auto"/>
          <w:lang w:val="en-US" w:eastAsia="zh-CN"/>
        </w:rPr>
        <w:t>7.2 具有履行合同所必需的设备和专业技术能力；（需提供相关证明材料复印件）</w:t>
      </w:r>
    </w:p>
    <w:p>
      <w:pPr>
        <w:spacing w:line="360" w:lineRule="auto"/>
        <w:rPr>
          <w:rFonts w:hint="eastAsia"/>
          <w:color w:val="auto"/>
          <w:lang w:val="en-US" w:eastAsia="zh-CN"/>
        </w:rPr>
      </w:pPr>
      <w:r>
        <w:rPr>
          <w:rFonts w:hint="eastAsia"/>
          <w:color w:val="auto"/>
          <w:lang w:val="en-US" w:eastAsia="zh-CN"/>
        </w:rPr>
        <w:t>7.3 投标人参加政府采购活动前三年内，在经营活动中没有重大违法记录；</w:t>
      </w:r>
    </w:p>
    <w:p>
      <w:pPr>
        <w:spacing w:line="360" w:lineRule="auto"/>
        <w:rPr>
          <w:rFonts w:hint="eastAsia"/>
          <w:color w:val="auto"/>
          <w:lang w:val="en-US" w:eastAsia="zh-CN"/>
        </w:rPr>
      </w:pPr>
      <w:r>
        <w:rPr>
          <w:rFonts w:hint="eastAsia"/>
          <w:color w:val="auto"/>
          <w:lang w:val="en-US" w:eastAsia="zh-CN"/>
        </w:rPr>
        <w:t>7.4 投标人必须符合法律、行政法规规定的其他条件；</w:t>
      </w:r>
    </w:p>
    <w:p>
      <w:pPr>
        <w:spacing w:line="360" w:lineRule="auto"/>
        <w:rPr>
          <w:rFonts w:hint="eastAsia"/>
          <w:color w:val="auto"/>
          <w:lang w:val="en-US" w:eastAsia="zh-CN"/>
        </w:rPr>
      </w:pPr>
      <w:r>
        <w:rPr>
          <w:rFonts w:hint="eastAsia"/>
          <w:color w:val="auto"/>
          <w:lang w:val="en-US" w:eastAsia="zh-CN"/>
        </w:rPr>
        <w:t>8. 单位负责人为同一人或者存在直接控股、管理关系的不同供应商，不得参加同一合同项下的采购活动；</w:t>
      </w:r>
    </w:p>
    <w:p>
      <w:pPr>
        <w:spacing w:line="360" w:lineRule="auto"/>
        <w:rPr>
          <w:rFonts w:hint="eastAsia"/>
          <w:color w:val="auto"/>
          <w:lang w:val="en-US" w:eastAsia="zh-CN"/>
        </w:rPr>
      </w:pPr>
      <w:r>
        <w:rPr>
          <w:rFonts w:hint="eastAsia"/>
          <w:color w:val="auto"/>
          <w:lang w:val="en-US" w:eastAsia="zh-CN"/>
        </w:rPr>
        <w:t>9. 为采购项目提供整体设计、规范编制或者项目管理、监理、检测等服务的供应商，不得再参加该采购项目的其他采购活动；</w:t>
      </w:r>
    </w:p>
    <w:p>
      <w:pPr>
        <w:spacing w:line="360" w:lineRule="auto"/>
        <w:rPr>
          <w:rFonts w:hint="eastAsia"/>
          <w:color w:val="auto"/>
          <w:lang w:val="en-US" w:eastAsia="zh-CN"/>
        </w:rPr>
      </w:pPr>
      <w:r>
        <w:rPr>
          <w:rFonts w:hint="eastAsia"/>
          <w:color w:val="auto"/>
          <w:lang w:val="en-US" w:eastAsia="zh-CN"/>
        </w:rPr>
        <w:t>10. 本项目不接受联合体投标。</w:t>
      </w:r>
    </w:p>
    <w:p>
      <w:pPr>
        <w:spacing w:line="360" w:lineRule="auto"/>
        <w:rPr>
          <w:color w:val="auto"/>
        </w:rPr>
      </w:pPr>
      <w:r>
        <w:rPr>
          <w:rFonts w:hint="eastAsia"/>
          <w:color w:val="auto"/>
          <w:lang w:val="en-US" w:eastAsia="zh-CN"/>
        </w:rPr>
        <w:t>11</w:t>
      </w:r>
      <w:r>
        <w:rPr>
          <w:rFonts w:hint="eastAsia"/>
          <w:color w:val="auto"/>
        </w:rPr>
        <w:t>. 招标文件的获取：</w:t>
      </w:r>
    </w:p>
    <w:p>
      <w:pPr>
        <w:spacing w:line="360" w:lineRule="auto"/>
        <w:rPr>
          <w:color w:val="auto"/>
        </w:rPr>
      </w:pPr>
      <w:r>
        <w:rPr>
          <w:rFonts w:hint="eastAsia"/>
          <w:color w:val="auto"/>
        </w:rPr>
        <w:t>获取招标文件时，须提供以下证明文件：</w:t>
      </w:r>
    </w:p>
    <w:p>
      <w:pPr>
        <w:spacing w:line="360" w:lineRule="auto"/>
        <w:rPr>
          <w:rFonts w:hint="eastAsia"/>
          <w:color w:val="auto"/>
          <w:lang w:val="en-US" w:eastAsia="zh-CN"/>
        </w:rPr>
      </w:pPr>
      <w:r>
        <w:rPr>
          <w:rFonts w:hint="eastAsia"/>
          <w:color w:val="auto"/>
          <w:lang w:val="en-US" w:eastAsia="zh-CN"/>
        </w:rPr>
        <w:t>（1）法定代表人证明书或法定代表人授权委托书、加盖公章的身份证明复印件；提供法定代表人授权委托书的，需附法定代表人证明书。</w:t>
      </w:r>
    </w:p>
    <w:p>
      <w:pPr>
        <w:spacing w:line="360" w:lineRule="auto"/>
        <w:rPr>
          <w:rFonts w:hint="default"/>
          <w:color w:val="auto"/>
          <w:lang w:val="en-US" w:eastAsia="zh-CN"/>
        </w:rPr>
      </w:pPr>
      <w:r>
        <w:rPr>
          <w:rFonts w:hint="eastAsia"/>
          <w:color w:val="auto"/>
          <w:lang w:val="en-US" w:eastAsia="zh-CN"/>
        </w:rPr>
        <w:t>（2）三证合一营业执照（或有效的营业执照、组织机构代码证、税务登记证；或如有国家另行规定则从其规定）；或事业法人登记证，或社会团体组织登记证，或民办非企业及其他组织（提供证明文件）（所有证件复印件均需加盖公章）。</w:t>
      </w:r>
    </w:p>
    <w:p>
      <w:pPr>
        <w:pStyle w:val="11"/>
        <w:rPr>
          <w:color w:val="auto"/>
        </w:rPr>
      </w:pPr>
    </w:p>
    <w:p>
      <w:pPr>
        <w:spacing w:line="360" w:lineRule="auto"/>
        <w:rPr>
          <w:color w:val="auto"/>
        </w:rPr>
      </w:pPr>
      <w:r>
        <w:rPr>
          <w:rFonts w:hint="eastAsia"/>
          <w:color w:val="auto"/>
        </w:rPr>
        <w:t>七、符合资格的供应商应当在2020年</w:t>
      </w:r>
      <w:r>
        <w:rPr>
          <w:rFonts w:hint="eastAsia"/>
          <w:color w:val="auto"/>
          <w:lang w:val="en-US" w:eastAsia="zh-CN"/>
        </w:rPr>
        <w:t>8</w:t>
      </w:r>
      <w:r>
        <w:rPr>
          <w:rFonts w:hint="eastAsia"/>
          <w:color w:val="auto"/>
        </w:rPr>
        <w:t>月</w:t>
      </w:r>
      <w:r>
        <w:rPr>
          <w:rFonts w:hint="eastAsia"/>
          <w:color w:val="auto"/>
          <w:lang w:val="en-US" w:eastAsia="zh-CN"/>
        </w:rPr>
        <w:t>15</w:t>
      </w:r>
      <w:r>
        <w:rPr>
          <w:rFonts w:hint="eastAsia"/>
          <w:color w:val="auto"/>
        </w:rPr>
        <w:t>日至2020年</w:t>
      </w:r>
      <w:r>
        <w:rPr>
          <w:rFonts w:hint="eastAsia"/>
          <w:color w:val="auto"/>
          <w:lang w:val="en-US" w:eastAsia="zh-CN"/>
        </w:rPr>
        <w:t>9</w:t>
      </w:r>
      <w:r>
        <w:rPr>
          <w:rFonts w:hint="eastAsia"/>
          <w:color w:val="auto"/>
        </w:rPr>
        <w:t>月</w:t>
      </w:r>
      <w:r>
        <w:rPr>
          <w:rFonts w:hint="eastAsia"/>
          <w:color w:val="auto"/>
          <w:lang w:val="en-US" w:eastAsia="zh-CN"/>
        </w:rPr>
        <w:t>3</w:t>
      </w:r>
      <w:r>
        <w:rPr>
          <w:rFonts w:hint="eastAsia"/>
          <w:color w:val="auto"/>
        </w:rPr>
        <w:t>日9:00～12:00,14:00～17:</w:t>
      </w:r>
      <w:r>
        <w:rPr>
          <w:rFonts w:hint="eastAsia"/>
          <w:color w:val="auto"/>
          <w:lang w:val="en-US" w:eastAsia="zh-CN"/>
        </w:rPr>
        <w:t>3</w:t>
      </w:r>
      <w:r>
        <w:rPr>
          <w:rFonts w:hint="eastAsia"/>
          <w:color w:val="auto"/>
        </w:rPr>
        <w:t>0（双休日及法定节假日除外）到广东华鑫招标采购有限公司（详细地址：广州市越秀区广州大道中307号富力东山新天地36楼）购买招标文件</w:t>
      </w:r>
      <w:r>
        <w:rPr>
          <w:rFonts w:hint="eastAsia"/>
          <w:color w:val="000000" w:themeColor="text1"/>
          <w14:textFill>
            <w14:solidFill>
              <w14:schemeClr w14:val="tx1"/>
            </w14:solidFill>
          </w14:textFill>
        </w:rPr>
        <w:t>，</w:t>
      </w:r>
      <w:r>
        <w:rPr>
          <w:rFonts w:hint="eastAsia"/>
          <w:color w:val="auto"/>
        </w:rPr>
        <w:t>招标文件每包组售价</w:t>
      </w:r>
      <w:r>
        <w:rPr>
          <w:rFonts w:hint="eastAsia"/>
          <w:color w:val="auto"/>
          <w:lang w:val="en-US" w:eastAsia="zh-CN"/>
        </w:rPr>
        <w:t>5</w:t>
      </w:r>
      <w:r>
        <w:rPr>
          <w:color w:val="auto"/>
        </w:rPr>
        <w:t>00</w:t>
      </w:r>
      <w:r>
        <w:rPr>
          <w:rFonts w:hint="eastAsia"/>
          <w:color w:val="auto"/>
        </w:rPr>
        <w:t>元（人民币），售后不退。</w:t>
      </w:r>
    </w:p>
    <w:p>
      <w:pPr>
        <w:spacing w:line="360" w:lineRule="auto"/>
        <w:rPr>
          <w:color w:val="auto"/>
        </w:rPr>
      </w:pPr>
      <w:r>
        <w:rPr>
          <w:rFonts w:hint="eastAsia"/>
          <w:color w:val="auto"/>
        </w:rPr>
        <w:t>八、投标文件提交截止时间：2020年</w:t>
      </w:r>
      <w:r>
        <w:rPr>
          <w:rFonts w:hint="eastAsia"/>
          <w:color w:val="auto"/>
          <w:lang w:val="en-US" w:eastAsia="zh-CN"/>
        </w:rPr>
        <w:t>9</w:t>
      </w:r>
      <w:r>
        <w:rPr>
          <w:rFonts w:hint="eastAsia"/>
          <w:color w:val="auto"/>
        </w:rPr>
        <w:t>月</w:t>
      </w:r>
      <w:r>
        <w:rPr>
          <w:rFonts w:hint="eastAsia"/>
          <w:color w:val="auto"/>
          <w:lang w:val="en-US" w:eastAsia="zh-CN"/>
        </w:rPr>
        <w:t>4</w:t>
      </w:r>
      <w:r>
        <w:rPr>
          <w:rFonts w:hint="eastAsia"/>
          <w:color w:val="auto"/>
        </w:rPr>
        <w:t>日14：30（北京</w:t>
      </w:r>
      <w:r>
        <w:rPr>
          <w:color w:val="auto"/>
        </w:rPr>
        <w:t>时间）</w:t>
      </w:r>
    </w:p>
    <w:p>
      <w:pPr>
        <w:spacing w:line="360" w:lineRule="auto"/>
        <w:rPr>
          <w:color w:val="auto"/>
        </w:rPr>
      </w:pPr>
      <w:r>
        <w:rPr>
          <w:rFonts w:hint="eastAsia"/>
          <w:color w:val="auto"/>
        </w:rPr>
        <w:t xml:space="preserve">九、投标文件提交地点：广州市越秀区广州大道中307号富力东山新天地36楼 </w:t>
      </w:r>
    </w:p>
    <w:p>
      <w:pPr>
        <w:spacing w:line="360" w:lineRule="auto"/>
        <w:ind w:firstLine="2310" w:firstLineChars="1100"/>
        <w:rPr>
          <w:rFonts w:ascii="Calibri" w:hAnsi="Calibri" w:eastAsia="宋体" w:cs="宋体"/>
          <w:color w:val="auto"/>
          <w:sz w:val="24"/>
          <w:szCs w:val="24"/>
        </w:rPr>
      </w:pPr>
      <w:r>
        <w:rPr>
          <w:rFonts w:hint="eastAsia"/>
          <w:color w:val="auto"/>
        </w:rPr>
        <w:t>广东华鑫招标采购有限公司二号会议室。</w:t>
      </w:r>
    </w:p>
    <w:p>
      <w:pPr>
        <w:spacing w:line="360" w:lineRule="auto"/>
        <w:rPr>
          <w:color w:val="auto"/>
        </w:rPr>
      </w:pPr>
      <w:r>
        <w:rPr>
          <w:rFonts w:hint="eastAsia"/>
          <w:color w:val="auto"/>
        </w:rPr>
        <w:t>十、开标评标时间：2020年</w:t>
      </w:r>
      <w:r>
        <w:rPr>
          <w:rFonts w:hint="eastAsia"/>
          <w:color w:val="auto"/>
          <w:lang w:val="en-US" w:eastAsia="zh-CN"/>
        </w:rPr>
        <w:t>9</w:t>
      </w:r>
      <w:r>
        <w:rPr>
          <w:rFonts w:hint="eastAsia"/>
          <w:color w:val="auto"/>
        </w:rPr>
        <w:t>月</w:t>
      </w:r>
      <w:r>
        <w:rPr>
          <w:rFonts w:hint="eastAsia"/>
          <w:color w:val="auto"/>
          <w:lang w:val="en-US" w:eastAsia="zh-CN"/>
        </w:rPr>
        <w:t>4</w:t>
      </w:r>
      <w:r>
        <w:rPr>
          <w:rFonts w:hint="eastAsia"/>
          <w:color w:val="auto"/>
        </w:rPr>
        <w:t>日14：30（北京</w:t>
      </w:r>
      <w:r>
        <w:rPr>
          <w:color w:val="auto"/>
        </w:rPr>
        <w:t>时间）</w:t>
      </w:r>
    </w:p>
    <w:p>
      <w:pPr>
        <w:spacing w:line="360" w:lineRule="auto"/>
        <w:rPr>
          <w:color w:val="auto"/>
        </w:rPr>
      </w:pPr>
      <w:r>
        <w:rPr>
          <w:rFonts w:hint="eastAsia"/>
          <w:color w:val="auto"/>
        </w:rPr>
        <w:t xml:space="preserve">十一、开标地点：广州市越秀区广州大道中307号富力东山新天地36楼 </w:t>
      </w:r>
    </w:p>
    <w:p>
      <w:pPr>
        <w:spacing w:line="360" w:lineRule="auto"/>
        <w:ind w:firstLine="1680" w:firstLineChars="800"/>
        <w:rPr>
          <w:color w:val="auto"/>
        </w:rPr>
      </w:pPr>
      <w:r>
        <w:rPr>
          <w:rFonts w:hint="eastAsia"/>
          <w:color w:val="auto"/>
        </w:rPr>
        <w:t>广东华鑫招标采购有限公司二号会议室。</w:t>
      </w:r>
    </w:p>
    <w:p>
      <w:pPr>
        <w:spacing w:line="360" w:lineRule="auto"/>
        <w:rPr>
          <w:color w:val="auto"/>
        </w:rPr>
      </w:pPr>
      <w:r>
        <w:rPr>
          <w:rFonts w:hint="eastAsia"/>
          <w:color w:val="auto"/>
        </w:rPr>
        <w:t>十二、</w:t>
      </w:r>
      <w:r>
        <w:rPr>
          <w:color w:val="auto"/>
        </w:rPr>
        <w:t>本公告期限（</w:t>
      </w:r>
      <w:r>
        <w:rPr>
          <w:rFonts w:hint="eastAsia"/>
          <w:color w:val="auto"/>
        </w:rPr>
        <w:t>5</w:t>
      </w:r>
      <w:r>
        <w:rPr>
          <w:color w:val="auto"/>
        </w:rPr>
        <w:t>个工作日）</w:t>
      </w:r>
      <w:r>
        <w:rPr>
          <w:rFonts w:hint="eastAsia"/>
          <w:color w:val="auto"/>
        </w:rPr>
        <w:t>自2020年</w:t>
      </w:r>
      <w:r>
        <w:rPr>
          <w:rFonts w:hint="eastAsia"/>
          <w:color w:val="auto"/>
          <w:lang w:val="en-US" w:eastAsia="zh-CN"/>
        </w:rPr>
        <w:t>8</w:t>
      </w:r>
      <w:r>
        <w:rPr>
          <w:rFonts w:hint="eastAsia"/>
          <w:color w:val="auto"/>
        </w:rPr>
        <w:t>月</w:t>
      </w:r>
      <w:r>
        <w:rPr>
          <w:rFonts w:hint="eastAsia"/>
          <w:color w:val="auto"/>
          <w:lang w:val="en-US" w:eastAsia="zh-CN"/>
        </w:rPr>
        <w:t>15</w:t>
      </w:r>
      <w:r>
        <w:rPr>
          <w:rFonts w:hint="eastAsia"/>
          <w:color w:val="auto"/>
        </w:rPr>
        <w:t>日至2020年</w:t>
      </w:r>
      <w:r>
        <w:rPr>
          <w:rFonts w:hint="eastAsia"/>
          <w:color w:val="auto"/>
          <w:lang w:val="en-US" w:eastAsia="zh-CN"/>
        </w:rPr>
        <w:t>8</w:t>
      </w:r>
      <w:r>
        <w:rPr>
          <w:rFonts w:hint="eastAsia"/>
          <w:color w:val="auto"/>
        </w:rPr>
        <w:t>月</w:t>
      </w:r>
      <w:r>
        <w:rPr>
          <w:rFonts w:hint="eastAsia"/>
          <w:color w:val="auto"/>
          <w:lang w:val="en-US" w:eastAsia="zh-CN"/>
        </w:rPr>
        <w:t>21</w:t>
      </w:r>
      <w:r>
        <w:rPr>
          <w:rFonts w:hint="eastAsia"/>
          <w:color w:val="auto"/>
        </w:rPr>
        <w:t xml:space="preserve">日止 </w:t>
      </w:r>
    </w:p>
    <w:p>
      <w:pPr>
        <w:spacing w:line="360" w:lineRule="auto"/>
        <w:rPr>
          <w:color w:val="auto"/>
        </w:rPr>
      </w:pPr>
      <w:r>
        <w:rPr>
          <w:rFonts w:hint="eastAsia"/>
          <w:color w:val="auto"/>
        </w:rPr>
        <w:t>十三、联系事项</w:t>
      </w:r>
    </w:p>
    <w:p>
      <w:pPr>
        <w:spacing w:line="360" w:lineRule="auto"/>
        <w:rPr>
          <w:color w:val="auto"/>
        </w:rPr>
      </w:pPr>
      <w:r>
        <w:rPr>
          <w:rFonts w:hint="eastAsia"/>
          <w:color w:val="auto"/>
        </w:rPr>
        <w:t>（一）采购人：</w:t>
      </w:r>
      <w:r>
        <w:rPr>
          <w:rFonts w:hint="eastAsia"/>
          <w:color w:val="auto"/>
          <w:lang w:eastAsia="zh-CN"/>
        </w:rPr>
        <w:t>南方医科大学口腔医院（广东省口腔医院）</w:t>
      </w:r>
    </w:p>
    <w:p>
      <w:pPr>
        <w:spacing w:line="360" w:lineRule="auto"/>
        <w:ind w:firstLine="630" w:firstLineChars="300"/>
        <w:rPr>
          <w:rFonts w:hint="eastAsia"/>
          <w:color w:val="auto"/>
        </w:rPr>
      </w:pPr>
      <w:r>
        <w:rPr>
          <w:rFonts w:hint="eastAsia"/>
          <w:color w:val="auto"/>
        </w:rPr>
        <w:t>地址：广州市越秀区盘福路13-35号A座二楼</w:t>
      </w:r>
    </w:p>
    <w:p>
      <w:pPr>
        <w:spacing w:line="360" w:lineRule="auto"/>
        <w:rPr>
          <w:color w:val="auto"/>
        </w:rPr>
      </w:pPr>
      <w:r>
        <w:rPr>
          <w:rFonts w:hint="eastAsia"/>
          <w:color w:val="auto"/>
        </w:rPr>
        <w:t>（二）采购代理机构：广东华鑫招标采购有限公司</w:t>
      </w:r>
    </w:p>
    <w:p>
      <w:pPr>
        <w:spacing w:line="360" w:lineRule="auto"/>
        <w:ind w:firstLine="630" w:firstLineChars="300"/>
        <w:rPr>
          <w:color w:val="auto"/>
        </w:rPr>
      </w:pPr>
      <w:r>
        <w:rPr>
          <w:rFonts w:hint="eastAsia"/>
          <w:color w:val="auto"/>
        </w:rPr>
        <w:t>地址：广州市越秀区广州大道中307号富力东山新天地36楼</w:t>
      </w:r>
    </w:p>
    <w:p>
      <w:pPr>
        <w:spacing w:line="360" w:lineRule="auto"/>
        <w:ind w:firstLine="630" w:firstLineChars="300"/>
        <w:rPr>
          <w:color w:val="auto"/>
        </w:rPr>
      </w:pPr>
      <w:r>
        <w:rPr>
          <w:rFonts w:hint="eastAsia"/>
          <w:color w:val="auto"/>
        </w:rPr>
        <w:t>联系人：刘家栋</w:t>
      </w:r>
      <w:r>
        <w:rPr>
          <w:rFonts w:hint="eastAsia"/>
          <w:color w:val="auto"/>
        </w:rPr>
        <w:tab/>
      </w:r>
      <w:r>
        <w:rPr>
          <w:rFonts w:hint="eastAsia"/>
          <w:color w:val="auto"/>
        </w:rPr>
        <w:t xml:space="preserve">                    联系电话：</w:t>
      </w:r>
      <w:r>
        <w:rPr>
          <w:rFonts w:hint="eastAsia"/>
          <w:color w:val="auto"/>
          <w:lang w:val="en-US" w:eastAsia="zh-CN"/>
        </w:rPr>
        <w:t>020-</w:t>
      </w:r>
      <w:r>
        <w:rPr>
          <w:rFonts w:hint="eastAsia"/>
          <w:color w:val="auto"/>
        </w:rPr>
        <w:t>87300828</w:t>
      </w:r>
    </w:p>
    <w:p>
      <w:pPr>
        <w:numPr>
          <w:ilvl w:val="0"/>
          <w:numId w:val="2"/>
        </w:numPr>
        <w:spacing w:line="360" w:lineRule="auto"/>
        <w:rPr>
          <w:rFonts w:hint="eastAsia"/>
          <w:color w:val="auto"/>
          <w:lang w:val="en-US" w:eastAsia="zh-CN"/>
        </w:rPr>
      </w:pPr>
      <w:r>
        <w:rPr>
          <w:rFonts w:hint="eastAsia"/>
          <w:color w:val="auto"/>
        </w:rPr>
        <w:t>采购项目联系人：马小姐</w:t>
      </w:r>
      <w:r>
        <w:rPr>
          <w:rFonts w:hint="eastAsia"/>
          <w:color w:val="auto"/>
        </w:rPr>
        <w:tab/>
      </w:r>
      <w:r>
        <w:rPr>
          <w:rFonts w:hint="eastAsia"/>
          <w:color w:val="auto"/>
        </w:rPr>
        <w:t xml:space="preserve">            联系电话：020-8730</w:t>
      </w:r>
      <w:r>
        <w:rPr>
          <w:rFonts w:hint="eastAsia"/>
          <w:color w:val="auto"/>
          <w:lang w:val="en-US" w:eastAsia="zh-CN"/>
        </w:rPr>
        <w:t>08</w:t>
      </w:r>
      <w:r>
        <w:rPr>
          <w:rFonts w:hint="eastAsia"/>
          <w:color w:val="auto"/>
        </w:rPr>
        <w:t>28</w:t>
      </w:r>
      <w:r>
        <w:rPr>
          <w:rFonts w:hint="eastAsia"/>
          <w:color w:val="auto"/>
          <w:lang w:val="en-US" w:eastAsia="zh-CN"/>
        </w:rPr>
        <w:t>-894</w:t>
      </w:r>
    </w:p>
    <w:p>
      <w:pPr>
        <w:pStyle w:val="2"/>
        <w:numPr>
          <w:ilvl w:val="0"/>
          <w:numId w:val="0"/>
        </w:numPr>
        <w:ind w:firstLine="630" w:firstLineChars="300"/>
        <w:rPr>
          <w:rFonts w:hint="eastAsia" w:asciiTheme="minorHAnsi" w:hAnsiTheme="minorHAnsi" w:eastAsiaTheme="minorEastAsia" w:cstheme="minorBidi"/>
          <w:bCs w:val="0"/>
          <w:color w:val="auto"/>
          <w:spacing w:val="0"/>
          <w:kern w:val="2"/>
          <w:sz w:val="21"/>
          <w:szCs w:val="22"/>
          <w:lang w:val="en-US" w:eastAsia="zh-CN" w:bidi="ar-SA"/>
        </w:rPr>
      </w:pPr>
      <w:r>
        <w:rPr>
          <w:rFonts w:hint="eastAsia" w:asciiTheme="minorHAnsi" w:hAnsiTheme="minorHAnsi" w:eastAsiaTheme="minorEastAsia" w:cstheme="minorBidi"/>
          <w:bCs w:val="0"/>
          <w:color w:val="auto"/>
          <w:spacing w:val="0"/>
          <w:kern w:val="2"/>
          <w:sz w:val="21"/>
          <w:szCs w:val="22"/>
          <w:lang w:val="en-US" w:eastAsia="zh-CN" w:bidi="ar-SA"/>
        </w:rPr>
        <w:t>工作时间：工作日上午8:30--12:00，下午2:00--6:00</w:t>
      </w:r>
    </w:p>
    <w:p>
      <w:pPr>
        <w:pStyle w:val="2"/>
        <w:numPr>
          <w:ilvl w:val="0"/>
          <w:numId w:val="0"/>
        </w:numPr>
        <w:ind w:firstLine="630" w:firstLineChars="300"/>
        <w:rPr>
          <w:rFonts w:hint="eastAsia" w:asciiTheme="minorHAnsi" w:hAnsiTheme="minorHAnsi" w:eastAsiaTheme="minorEastAsia" w:cstheme="minorBidi"/>
          <w:bCs w:val="0"/>
          <w:color w:val="auto"/>
          <w:spacing w:val="0"/>
          <w:kern w:val="2"/>
          <w:sz w:val="21"/>
          <w:szCs w:val="22"/>
          <w:lang w:val="en-US" w:eastAsia="zh-CN" w:bidi="ar-SA"/>
        </w:rPr>
      </w:pPr>
      <w:r>
        <w:rPr>
          <w:rFonts w:hint="eastAsia" w:asciiTheme="minorHAnsi" w:hAnsiTheme="minorHAnsi" w:eastAsiaTheme="minorEastAsia" w:cstheme="minorBidi"/>
          <w:bCs w:val="0"/>
          <w:color w:val="auto"/>
          <w:spacing w:val="0"/>
          <w:kern w:val="2"/>
          <w:sz w:val="21"/>
          <w:szCs w:val="22"/>
          <w:lang w:val="en-US" w:eastAsia="zh-CN" w:bidi="ar-SA"/>
        </w:rPr>
        <w:t xml:space="preserve">传真：020-87302980   </w:t>
      </w:r>
      <w:r>
        <w:rPr>
          <w:rFonts w:hint="eastAsia" w:asciiTheme="minorHAnsi" w:hAnsiTheme="minorHAnsi" w:eastAsiaTheme="minorEastAsia" w:cstheme="minorBidi"/>
          <w:bCs w:val="0"/>
          <w:color w:val="auto"/>
          <w:spacing w:val="0"/>
          <w:kern w:val="2"/>
          <w:sz w:val="21"/>
          <w:szCs w:val="22"/>
          <w:lang w:val="en-US" w:eastAsia="zh-CN" w:bidi="ar-SA"/>
        </w:rPr>
        <w:tab/>
      </w:r>
      <w:r>
        <w:rPr>
          <w:rFonts w:hint="eastAsia" w:asciiTheme="minorHAnsi" w:hAnsiTheme="minorHAnsi" w:eastAsiaTheme="minorEastAsia" w:cstheme="minorBidi"/>
          <w:bCs w:val="0"/>
          <w:color w:val="auto"/>
          <w:spacing w:val="0"/>
          <w:kern w:val="2"/>
          <w:sz w:val="21"/>
          <w:szCs w:val="22"/>
          <w:lang w:val="en-US" w:eastAsia="zh-CN" w:bidi="ar-SA"/>
        </w:rPr>
        <w:t xml:space="preserve">                邮编：510000</w:t>
      </w:r>
    </w:p>
    <w:p>
      <w:pPr>
        <w:spacing w:line="360" w:lineRule="auto"/>
        <w:ind w:firstLine="630" w:firstLineChars="300"/>
        <w:rPr>
          <w:color w:val="auto"/>
        </w:rPr>
      </w:pPr>
      <w:r>
        <w:rPr>
          <w:rFonts w:hint="eastAsia"/>
          <w:color w:val="auto"/>
        </w:rPr>
        <w:t>E-mail：cs@gdhuaxin.cn</w:t>
      </w:r>
      <w:r>
        <w:rPr>
          <w:rFonts w:hint="eastAsia"/>
          <w:color w:val="auto"/>
        </w:rPr>
        <w:tab/>
      </w:r>
    </w:p>
    <w:p>
      <w:pPr>
        <w:spacing w:line="360" w:lineRule="auto"/>
        <w:rPr>
          <w:color w:val="auto"/>
        </w:rPr>
      </w:pPr>
      <w:r>
        <w:rPr>
          <w:rFonts w:hint="eastAsia"/>
          <w:color w:val="auto"/>
        </w:rPr>
        <w:t>十四、招标文件购买款账户</w:t>
      </w:r>
    </w:p>
    <w:p>
      <w:pPr>
        <w:spacing w:line="360" w:lineRule="auto"/>
        <w:ind w:firstLine="630" w:firstLineChars="300"/>
        <w:rPr>
          <w:color w:val="auto"/>
        </w:rPr>
      </w:pPr>
      <w:r>
        <w:rPr>
          <w:rFonts w:hint="eastAsia"/>
          <w:color w:val="auto"/>
        </w:rPr>
        <w:t xml:space="preserve">开户银行：中国农业银行广州富力新天地支行 </w:t>
      </w:r>
    </w:p>
    <w:p>
      <w:pPr>
        <w:spacing w:line="360" w:lineRule="auto"/>
        <w:ind w:firstLine="630" w:firstLineChars="300"/>
        <w:rPr>
          <w:color w:val="auto"/>
        </w:rPr>
      </w:pPr>
      <w:r>
        <w:rPr>
          <w:rFonts w:hint="eastAsia"/>
          <w:color w:val="auto"/>
        </w:rPr>
        <w:t xml:space="preserve">收 款 人：广东华鑫招标采购有限公司 </w:t>
      </w:r>
    </w:p>
    <w:p>
      <w:pPr>
        <w:spacing w:line="360" w:lineRule="auto"/>
        <w:ind w:firstLine="630" w:firstLineChars="300"/>
        <w:rPr>
          <w:rFonts w:hint="eastAsia" w:ascii="Calibri" w:hAnsi="Calibri" w:eastAsia="宋体" w:cs="Times New Roman"/>
          <w:color w:val="auto"/>
          <w:kern w:val="2"/>
          <w:sz w:val="21"/>
          <w:szCs w:val="21"/>
        </w:rPr>
      </w:pPr>
      <w:r>
        <w:rPr>
          <w:rFonts w:hint="eastAsia"/>
          <w:color w:val="auto"/>
        </w:rPr>
        <w:t>账    号：</w:t>
      </w:r>
      <w:r>
        <w:rPr>
          <w:rFonts w:hint="eastAsia" w:ascii="Calibri" w:hAnsi="Calibri" w:eastAsia="宋体" w:cs="Times New Roman"/>
          <w:color w:val="auto"/>
          <w:kern w:val="2"/>
          <w:sz w:val="21"/>
          <w:szCs w:val="21"/>
        </w:rPr>
        <w:t>440-3440-1040-0083-44</w:t>
      </w:r>
    </w:p>
    <w:p>
      <w:pPr>
        <w:spacing w:line="360" w:lineRule="auto"/>
        <w:ind w:firstLine="630" w:firstLineChars="300"/>
        <w:rPr>
          <w:color w:val="auto"/>
        </w:rPr>
      </w:pPr>
    </w:p>
    <w:p>
      <w:pPr>
        <w:spacing w:line="360" w:lineRule="auto"/>
        <w:jc w:val="right"/>
        <w:rPr>
          <w:color w:val="auto"/>
        </w:rPr>
      </w:pPr>
      <w:r>
        <w:rPr>
          <w:rFonts w:hint="eastAsia"/>
          <w:color w:val="auto"/>
          <w:lang w:eastAsia="zh-CN"/>
        </w:rPr>
        <w:t>南方医科大学口腔医院（广东省口腔医院）</w:t>
      </w:r>
      <w:bookmarkStart w:id="0" w:name="_GoBack"/>
      <w:bookmarkEnd w:id="0"/>
    </w:p>
    <w:p>
      <w:pPr>
        <w:spacing w:line="360" w:lineRule="auto"/>
        <w:jc w:val="right"/>
        <w:rPr>
          <w:color w:val="auto"/>
        </w:rPr>
      </w:pPr>
      <w:r>
        <w:rPr>
          <w:color w:val="auto"/>
        </w:rPr>
        <w:t>20</w:t>
      </w:r>
      <w:r>
        <w:rPr>
          <w:rFonts w:hint="eastAsia"/>
          <w:color w:val="auto"/>
          <w:lang w:val="en-US" w:eastAsia="zh-CN"/>
        </w:rPr>
        <w:t>20</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14</w:t>
      </w:r>
      <w:r>
        <w:rPr>
          <w:rFonts w:hint="eastAsia"/>
          <w:color w:val="auto"/>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9EC83"/>
    <w:multiLevelType w:val="singleLevel"/>
    <w:tmpl w:val="BD79EC83"/>
    <w:lvl w:ilvl="0" w:tentative="0">
      <w:start w:val="3"/>
      <w:numFmt w:val="chineseCounting"/>
      <w:suff w:val="nothing"/>
      <w:lvlText w:val="（%1）"/>
      <w:lvlJc w:val="left"/>
      <w:rPr>
        <w:rFonts w:hint="eastAsia"/>
      </w:rPr>
    </w:lvl>
  </w:abstractNum>
  <w:abstractNum w:abstractNumId="1">
    <w:nsid w:val="5A45E0E2"/>
    <w:multiLevelType w:val="singleLevel"/>
    <w:tmpl w:val="5A45E0E2"/>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7F"/>
    <w:rsid w:val="0000168B"/>
    <w:rsid w:val="00020EDE"/>
    <w:rsid w:val="00060083"/>
    <w:rsid w:val="000859F8"/>
    <w:rsid w:val="000F31CC"/>
    <w:rsid w:val="001B774F"/>
    <w:rsid w:val="001E22A3"/>
    <w:rsid w:val="002F21FD"/>
    <w:rsid w:val="00331602"/>
    <w:rsid w:val="00346C51"/>
    <w:rsid w:val="00383B63"/>
    <w:rsid w:val="00384846"/>
    <w:rsid w:val="003915AC"/>
    <w:rsid w:val="00554A16"/>
    <w:rsid w:val="005A0D29"/>
    <w:rsid w:val="005E2591"/>
    <w:rsid w:val="00617985"/>
    <w:rsid w:val="006403CC"/>
    <w:rsid w:val="0065621A"/>
    <w:rsid w:val="00672210"/>
    <w:rsid w:val="006E212B"/>
    <w:rsid w:val="007463AC"/>
    <w:rsid w:val="00771CA8"/>
    <w:rsid w:val="007C6353"/>
    <w:rsid w:val="007E5A0D"/>
    <w:rsid w:val="00826653"/>
    <w:rsid w:val="00826712"/>
    <w:rsid w:val="008528DB"/>
    <w:rsid w:val="00873817"/>
    <w:rsid w:val="00873D49"/>
    <w:rsid w:val="008B037F"/>
    <w:rsid w:val="008C5690"/>
    <w:rsid w:val="008E0CE4"/>
    <w:rsid w:val="008E2C04"/>
    <w:rsid w:val="0091432F"/>
    <w:rsid w:val="00921B39"/>
    <w:rsid w:val="0093067C"/>
    <w:rsid w:val="00997CE6"/>
    <w:rsid w:val="009A37FC"/>
    <w:rsid w:val="009A79BE"/>
    <w:rsid w:val="009E53B9"/>
    <w:rsid w:val="00A072DF"/>
    <w:rsid w:val="00A07FD7"/>
    <w:rsid w:val="00A53ACE"/>
    <w:rsid w:val="00A77C57"/>
    <w:rsid w:val="00AC3C06"/>
    <w:rsid w:val="00AD2C6C"/>
    <w:rsid w:val="00AF3090"/>
    <w:rsid w:val="00B8009B"/>
    <w:rsid w:val="00BC0DD7"/>
    <w:rsid w:val="00BF427F"/>
    <w:rsid w:val="00C03958"/>
    <w:rsid w:val="00CF1947"/>
    <w:rsid w:val="00D11F66"/>
    <w:rsid w:val="00D333FD"/>
    <w:rsid w:val="00D43086"/>
    <w:rsid w:val="00D62819"/>
    <w:rsid w:val="00D940A5"/>
    <w:rsid w:val="00E23E0B"/>
    <w:rsid w:val="00E46919"/>
    <w:rsid w:val="00E47273"/>
    <w:rsid w:val="00E50438"/>
    <w:rsid w:val="00E558CF"/>
    <w:rsid w:val="00E70681"/>
    <w:rsid w:val="00EB688F"/>
    <w:rsid w:val="00EC67CF"/>
    <w:rsid w:val="00F46ABC"/>
    <w:rsid w:val="00F5573E"/>
    <w:rsid w:val="00F6233D"/>
    <w:rsid w:val="00F83424"/>
    <w:rsid w:val="00FC4616"/>
    <w:rsid w:val="01051B12"/>
    <w:rsid w:val="01546373"/>
    <w:rsid w:val="015A3CE5"/>
    <w:rsid w:val="024555DA"/>
    <w:rsid w:val="045C09E7"/>
    <w:rsid w:val="04A85C4C"/>
    <w:rsid w:val="05791ED0"/>
    <w:rsid w:val="05957C69"/>
    <w:rsid w:val="06CA73CD"/>
    <w:rsid w:val="0716769E"/>
    <w:rsid w:val="07194722"/>
    <w:rsid w:val="07F71068"/>
    <w:rsid w:val="081E101E"/>
    <w:rsid w:val="08746315"/>
    <w:rsid w:val="0945736C"/>
    <w:rsid w:val="098F4E84"/>
    <w:rsid w:val="09C65D59"/>
    <w:rsid w:val="0A3A555F"/>
    <w:rsid w:val="0A7D70D6"/>
    <w:rsid w:val="0A934CBF"/>
    <w:rsid w:val="0B8765CF"/>
    <w:rsid w:val="0C4D1DF1"/>
    <w:rsid w:val="0C9E5EA9"/>
    <w:rsid w:val="0D01185A"/>
    <w:rsid w:val="0D5834E6"/>
    <w:rsid w:val="0DC72D08"/>
    <w:rsid w:val="0E815D88"/>
    <w:rsid w:val="0EBA3C2C"/>
    <w:rsid w:val="0F231BE5"/>
    <w:rsid w:val="0F5E393D"/>
    <w:rsid w:val="0F8D427C"/>
    <w:rsid w:val="101242F3"/>
    <w:rsid w:val="105D0410"/>
    <w:rsid w:val="10F01FE9"/>
    <w:rsid w:val="114F5511"/>
    <w:rsid w:val="12343A60"/>
    <w:rsid w:val="123945B6"/>
    <w:rsid w:val="12952B1F"/>
    <w:rsid w:val="12D846C1"/>
    <w:rsid w:val="12DF1783"/>
    <w:rsid w:val="14374E39"/>
    <w:rsid w:val="14BD3E1E"/>
    <w:rsid w:val="15305983"/>
    <w:rsid w:val="154A6192"/>
    <w:rsid w:val="15C95BC8"/>
    <w:rsid w:val="15FA291F"/>
    <w:rsid w:val="16D77CDB"/>
    <w:rsid w:val="175A4FE1"/>
    <w:rsid w:val="18817E16"/>
    <w:rsid w:val="188453FE"/>
    <w:rsid w:val="18A603A7"/>
    <w:rsid w:val="18A71AE8"/>
    <w:rsid w:val="1918736E"/>
    <w:rsid w:val="19920BA4"/>
    <w:rsid w:val="1A0F40F6"/>
    <w:rsid w:val="1A263279"/>
    <w:rsid w:val="1A365606"/>
    <w:rsid w:val="1AC225FE"/>
    <w:rsid w:val="1B8D00B6"/>
    <w:rsid w:val="1B9C673F"/>
    <w:rsid w:val="1C9B6907"/>
    <w:rsid w:val="1DB31BAE"/>
    <w:rsid w:val="1EBA382F"/>
    <w:rsid w:val="204C37B4"/>
    <w:rsid w:val="20C0147B"/>
    <w:rsid w:val="20C76E7A"/>
    <w:rsid w:val="21D16CA6"/>
    <w:rsid w:val="22836642"/>
    <w:rsid w:val="22F63CBB"/>
    <w:rsid w:val="23702B48"/>
    <w:rsid w:val="23926790"/>
    <w:rsid w:val="239957A6"/>
    <w:rsid w:val="23AE2B07"/>
    <w:rsid w:val="23C14CC4"/>
    <w:rsid w:val="23D8775A"/>
    <w:rsid w:val="2453153D"/>
    <w:rsid w:val="24B40B01"/>
    <w:rsid w:val="24C91B45"/>
    <w:rsid w:val="25F95C0E"/>
    <w:rsid w:val="25FA38FD"/>
    <w:rsid w:val="26016FC7"/>
    <w:rsid w:val="26725E47"/>
    <w:rsid w:val="26793563"/>
    <w:rsid w:val="26932BA8"/>
    <w:rsid w:val="273768B2"/>
    <w:rsid w:val="278E0F12"/>
    <w:rsid w:val="278E17B5"/>
    <w:rsid w:val="284360EE"/>
    <w:rsid w:val="287A683B"/>
    <w:rsid w:val="28DA3F50"/>
    <w:rsid w:val="28ED124E"/>
    <w:rsid w:val="292745FE"/>
    <w:rsid w:val="296B220D"/>
    <w:rsid w:val="29E27A84"/>
    <w:rsid w:val="2A167883"/>
    <w:rsid w:val="2A714640"/>
    <w:rsid w:val="2ABD6FE5"/>
    <w:rsid w:val="2ADF4A92"/>
    <w:rsid w:val="2B5A6256"/>
    <w:rsid w:val="2D1C1C37"/>
    <w:rsid w:val="2D556D68"/>
    <w:rsid w:val="2D9C2461"/>
    <w:rsid w:val="2DEA583F"/>
    <w:rsid w:val="2E43596A"/>
    <w:rsid w:val="2E532BA0"/>
    <w:rsid w:val="2E5E6908"/>
    <w:rsid w:val="2ECA07CC"/>
    <w:rsid w:val="2F19438F"/>
    <w:rsid w:val="2FF21548"/>
    <w:rsid w:val="303A5700"/>
    <w:rsid w:val="31260A66"/>
    <w:rsid w:val="31656E67"/>
    <w:rsid w:val="31DE370E"/>
    <w:rsid w:val="31EB775A"/>
    <w:rsid w:val="3219028D"/>
    <w:rsid w:val="3251679E"/>
    <w:rsid w:val="32CB7723"/>
    <w:rsid w:val="32EC67CE"/>
    <w:rsid w:val="33121D46"/>
    <w:rsid w:val="33642974"/>
    <w:rsid w:val="336E526A"/>
    <w:rsid w:val="33D71A02"/>
    <w:rsid w:val="345A7698"/>
    <w:rsid w:val="34B85B7F"/>
    <w:rsid w:val="35C17540"/>
    <w:rsid w:val="36C77BB5"/>
    <w:rsid w:val="36ED7FCB"/>
    <w:rsid w:val="37AA7DD0"/>
    <w:rsid w:val="380B369A"/>
    <w:rsid w:val="3817739A"/>
    <w:rsid w:val="387519BA"/>
    <w:rsid w:val="38B6790A"/>
    <w:rsid w:val="39135D7A"/>
    <w:rsid w:val="396B6544"/>
    <w:rsid w:val="399337EC"/>
    <w:rsid w:val="39980139"/>
    <w:rsid w:val="3A495041"/>
    <w:rsid w:val="3B2376FD"/>
    <w:rsid w:val="3B5F66B4"/>
    <w:rsid w:val="3D640A01"/>
    <w:rsid w:val="3EBC51EF"/>
    <w:rsid w:val="3F2D1164"/>
    <w:rsid w:val="3F9227AD"/>
    <w:rsid w:val="3FA308CD"/>
    <w:rsid w:val="40552FD1"/>
    <w:rsid w:val="40B14937"/>
    <w:rsid w:val="40FA6737"/>
    <w:rsid w:val="41772FD7"/>
    <w:rsid w:val="41E30ACB"/>
    <w:rsid w:val="42B23FE4"/>
    <w:rsid w:val="43063183"/>
    <w:rsid w:val="434374B8"/>
    <w:rsid w:val="434B73CA"/>
    <w:rsid w:val="439B26E7"/>
    <w:rsid w:val="43CE60F9"/>
    <w:rsid w:val="43E547E7"/>
    <w:rsid w:val="4533008A"/>
    <w:rsid w:val="45A5570D"/>
    <w:rsid w:val="45CD0C60"/>
    <w:rsid w:val="45FE4EDA"/>
    <w:rsid w:val="4765497F"/>
    <w:rsid w:val="4768735A"/>
    <w:rsid w:val="477763C9"/>
    <w:rsid w:val="47D828A5"/>
    <w:rsid w:val="47EF56D7"/>
    <w:rsid w:val="488A10AC"/>
    <w:rsid w:val="489C02B4"/>
    <w:rsid w:val="48A46308"/>
    <w:rsid w:val="495443E3"/>
    <w:rsid w:val="4A250243"/>
    <w:rsid w:val="4AA76007"/>
    <w:rsid w:val="4BAF34DB"/>
    <w:rsid w:val="4C774231"/>
    <w:rsid w:val="4CB272BC"/>
    <w:rsid w:val="4D7C1D19"/>
    <w:rsid w:val="4DA75A37"/>
    <w:rsid w:val="4DF81C2F"/>
    <w:rsid w:val="4E411A3F"/>
    <w:rsid w:val="4F4D5602"/>
    <w:rsid w:val="50BE64EB"/>
    <w:rsid w:val="50DB0C4D"/>
    <w:rsid w:val="512F39F1"/>
    <w:rsid w:val="51E34928"/>
    <w:rsid w:val="522179B8"/>
    <w:rsid w:val="52501FCB"/>
    <w:rsid w:val="5253402D"/>
    <w:rsid w:val="54163545"/>
    <w:rsid w:val="54453AEC"/>
    <w:rsid w:val="54CA188A"/>
    <w:rsid w:val="55027D36"/>
    <w:rsid w:val="55315F86"/>
    <w:rsid w:val="55DD51BD"/>
    <w:rsid w:val="56502A87"/>
    <w:rsid w:val="57112978"/>
    <w:rsid w:val="57287F6C"/>
    <w:rsid w:val="57304EEE"/>
    <w:rsid w:val="57E409E6"/>
    <w:rsid w:val="58113374"/>
    <w:rsid w:val="583E7848"/>
    <w:rsid w:val="585A119B"/>
    <w:rsid w:val="58C47C6A"/>
    <w:rsid w:val="590C0FF8"/>
    <w:rsid w:val="59942F09"/>
    <w:rsid w:val="599F767D"/>
    <w:rsid w:val="59DB3D96"/>
    <w:rsid w:val="5A0D70BA"/>
    <w:rsid w:val="5A1339B6"/>
    <w:rsid w:val="5A2251DD"/>
    <w:rsid w:val="5A350A37"/>
    <w:rsid w:val="5B0441C8"/>
    <w:rsid w:val="5B1A71E4"/>
    <w:rsid w:val="5B735D08"/>
    <w:rsid w:val="5BCB5A5F"/>
    <w:rsid w:val="5C8F251B"/>
    <w:rsid w:val="5D2E531F"/>
    <w:rsid w:val="5E000E0A"/>
    <w:rsid w:val="5E200A85"/>
    <w:rsid w:val="5E96267E"/>
    <w:rsid w:val="5F2C6E57"/>
    <w:rsid w:val="5FF964E9"/>
    <w:rsid w:val="63AD1126"/>
    <w:rsid w:val="63F11200"/>
    <w:rsid w:val="642F4E35"/>
    <w:rsid w:val="6566558B"/>
    <w:rsid w:val="65EF373A"/>
    <w:rsid w:val="666F55B5"/>
    <w:rsid w:val="66FA0864"/>
    <w:rsid w:val="678C57A7"/>
    <w:rsid w:val="67D02F7E"/>
    <w:rsid w:val="68A60223"/>
    <w:rsid w:val="68C3735B"/>
    <w:rsid w:val="68DD3987"/>
    <w:rsid w:val="69A054D6"/>
    <w:rsid w:val="6A077026"/>
    <w:rsid w:val="6ACA45DB"/>
    <w:rsid w:val="6B204656"/>
    <w:rsid w:val="6B5F1AA3"/>
    <w:rsid w:val="6B877C55"/>
    <w:rsid w:val="6BFD3226"/>
    <w:rsid w:val="6C7F6DFC"/>
    <w:rsid w:val="6CC24303"/>
    <w:rsid w:val="6CF7711A"/>
    <w:rsid w:val="6E6E0A6A"/>
    <w:rsid w:val="6EB702E5"/>
    <w:rsid w:val="6EC06020"/>
    <w:rsid w:val="6F2856BC"/>
    <w:rsid w:val="6F7E5D08"/>
    <w:rsid w:val="70EE5829"/>
    <w:rsid w:val="719046E7"/>
    <w:rsid w:val="72836227"/>
    <w:rsid w:val="72F43A18"/>
    <w:rsid w:val="7303466E"/>
    <w:rsid w:val="7339715F"/>
    <w:rsid w:val="73497625"/>
    <w:rsid w:val="756326B4"/>
    <w:rsid w:val="75FE31B8"/>
    <w:rsid w:val="764B7B4D"/>
    <w:rsid w:val="76CC0D3A"/>
    <w:rsid w:val="7703329B"/>
    <w:rsid w:val="78C2119A"/>
    <w:rsid w:val="78F46995"/>
    <w:rsid w:val="7A3C31A5"/>
    <w:rsid w:val="7ABD5953"/>
    <w:rsid w:val="7ACF08F1"/>
    <w:rsid w:val="7AD41AFC"/>
    <w:rsid w:val="7AE20FA0"/>
    <w:rsid w:val="7B3C513D"/>
    <w:rsid w:val="7B4C5935"/>
    <w:rsid w:val="7B7131AE"/>
    <w:rsid w:val="7B7D3824"/>
    <w:rsid w:val="7D7A1EAB"/>
    <w:rsid w:val="7DD03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ind w:firstLine="0"/>
      <w:jc w:val="left"/>
    </w:pPr>
    <w:rPr>
      <w:bCs/>
      <w:spacing w:val="10"/>
      <w:kern w:val="0"/>
      <w:sz w:val="24"/>
    </w:rPr>
  </w:style>
  <w:style w:type="paragraph" w:styleId="3">
    <w:name w:val="Balloon Text"/>
    <w:basedOn w:val="1"/>
    <w:link w:val="19"/>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unhideWhenUsed/>
    <w:qFormat/>
    <w:uiPriority w:val="99"/>
    <w:rPr>
      <w:color w:val="000000"/>
      <w:u w:val="none"/>
    </w:rPr>
  </w:style>
  <w:style w:type="character" w:styleId="10">
    <w:name w:val="Hyperlink"/>
    <w:basedOn w:val="8"/>
    <w:unhideWhenUsed/>
    <w:qFormat/>
    <w:uiPriority w:val="99"/>
    <w:rPr>
      <w:color w:val="000000"/>
      <w:u w:val="none"/>
    </w:rPr>
  </w:style>
  <w:style w:type="paragraph" w:customStyle="1" w:styleId="11">
    <w:name w:val="_Style 3"/>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customStyle="1" w:styleId="14">
    <w:name w:val="列出段落1"/>
    <w:basedOn w:val="1"/>
    <w:qFormat/>
    <w:uiPriority w:val="34"/>
    <w:pPr>
      <w:ind w:firstLine="420" w:firstLineChars="200"/>
    </w:pPr>
  </w:style>
  <w:style w:type="paragraph" w:customStyle="1" w:styleId="1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7">
    <w:name w:val="正文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8">
    <w:name w:val="封面3"/>
    <w:basedOn w:val="1"/>
    <w:qFormat/>
    <w:uiPriority w:val="0"/>
    <w:pPr>
      <w:tabs>
        <w:tab w:val="left" w:pos="2160"/>
      </w:tabs>
      <w:ind w:firstLine="542" w:firstLineChars="180"/>
    </w:pPr>
    <w:rPr>
      <w:rFonts w:ascii="黑体" w:hAnsi="宋体" w:eastAsia="黑体" w:cs="Times New Roman"/>
      <w:b/>
      <w:snapToGrid w:val="0"/>
      <w:kern w:val="0"/>
      <w:sz w:val="30"/>
      <w:szCs w:val="30"/>
    </w:rPr>
  </w:style>
  <w:style w:type="character" w:customStyle="1" w:styleId="19">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398</Words>
  <Characters>2272</Characters>
  <Lines>18</Lines>
  <Paragraphs>5</Paragraphs>
  <TotalTime>0</TotalTime>
  <ScaleCrop>false</ScaleCrop>
  <LinksUpToDate>false</LinksUpToDate>
  <CharactersWithSpaces>2665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2016-05-26T03:19:00Z</dcterms:created>
  <dc:creator>Administrator</dc:creator>
  <cp:lastModifiedBy>邓宝琴3部</cp:lastModifiedBy>
  <cp:lastPrinted>2017-12-14T06:23:00Z</cp:lastPrinted>
  <dcterms:modified xsi:type="dcterms:W3CDTF">2020-08-14T10:17:43Z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